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BD7D" w14:textId="58D7E6AB" w:rsidR="00CB7B82" w:rsidRDefault="00E87250" w:rsidP="00CB7B82">
      <w:pPr>
        <w:pStyle w:val="Ttulo1"/>
      </w:pPr>
      <w:bookmarkStart w:id="0" w:name="_Toc476048400"/>
      <w:r>
        <w:t xml:space="preserve">ANEXO: </w:t>
      </w:r>
      <w:r w:rsidR="0004570F">
        <w:t>FORMULACIÓN COMPROMISOS DE GESTIÓN</w:t>
      </w:r>
      <w:r w:rsidR="00CB7B82">
        <w:t xml:space="preserve"> </w:t>
      </w:r>
      <w:r w:rsidR="009435DF">
        <w:t>PROGRAMA MEJORAMIENTO DE LA GESTIÓN (PMG)</w:t>
      </w:r>
      <w:r w:rsidR="00CB7B82">
        <w:t xml:space="preserve"> </w:t>
      </w:r>
      <w:bookmarkEnd w:id="0"/>
      <w:r w:rsidR="003D0138">
        <w:t>20</w:t>
      </w:r>
      <w:r w:rsidR="00D35CD1">
        <w:t>20</w:t>
      </w:r>
    </w:p>
    <w:p w14:paraId="0BE49424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  <w:bookmarkStart w:id="1" w:name="_Toc476048401"/>
    </w:p>
    <w:p w14:paraId="5B13DA14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</w:p>
    <w:p w14:paraId="23A22987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880"/>
      </w:tblGrid>
      <w:tr w:rsidR="00860DE5" w:rsidRPr="005103A3" w14:paraId="474CBD73" w14:textId="77777777" w:rsidTr="003D0138">
        <w:trPr>
          <w:trHeight w:val="383"/>
          <w:jc w:val="center"/>
        </w:trPr>
        <w:tc>
          <w:tcPr>
            <w:tcW w:w="3471" w:type="dxa"/>
            <w:shd w:val="clear" w:color="auto" w:fill="999999"/>
            <w:vAlign w:val="center"/>
          </w:tcPr>
          <w:p w14:paraId="1F1FE7FA" w14:textId="77777777" w:rsidR="00860DE5" w:rsidRPr="005103A3" w:rsidRDefault="00860DE5" w:rsidP="004718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SERVICIO</w:t>
            </w:r>
          </w:p>
        </w:tc>
        <w:tc>
          <w:tcPr>
            <w:tcW w:w="5880" w:type="dxa"/>
            <w:vAlign w:val="center"/>
          </w:tcPr>
          <w:p w14:paraId="261323AF" w14:textId="77777777" w:rsidR="00860DE5" w:rsidRPr="005103A3" w:rsidRDefault="00860DE5" w:rsidP="00471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SUB</w:t>
            </w:r>
            <w:r w:rsidR="001F1B37">
              <w:rPr>
                <w:rFonts w:ascii="Arial" w:hAnsi="Arial" w:cs="Arial"/>
                <w:sz w:val="18"/>
                <w:szCs w:val="16"/>
              </w:rPr>
              <w:t>SE</w:t>
            </w:r>
            <w:r>
              <w:rPr>
                <w:rFonts w:ascii="Arial" w:hAnsi="Arial" w:cs="Arial"/>
                <w:sz w:val="18"/>
                <w:szCs w:val="16"/>
              </w:rPr>
              <w:t>CRETARÍA DE EVALUACIÓN SOCIAL</w:t>
            </w:r>
          </w:p>
        </w:tc>
      </w:tr>
      <w:tr w:rsidR="00860DE5" w:rsidRPr="005103A3" w14:paraId="4B9BCC97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999999"/>
            <w:vAlign w:val="center"/>
          </w:tcPr>
          <w:p w14:paraId="660CCC8D" w14:textId="77777777" w:rsidR="00860DE5" w:rsidRPr="005103A3" w:rsidRDefault="00860DE5" w:rsidP="004718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SISTEMA DE GESTIÓN</w:t>
            </w:r>
          </w:p>
        </w:tc>
        <w:tc>
          <w:tcPr>
            <w:tcW w:w="5880" w:type="dxa"/>
            <w:vAlign w:val="center"/>
          </w:tcPr>
          <w:p w14:paraId="14102D05" w14:textId="77777777" w:rsidR="00860DE5" w:rsidRPr="00471834" w:rsidRDefault="00860DE5" w:rsidP="00471834">
            <w:pPr>
              <w:jc w:val="center"/>
              <w:rPr>
                <w:rFonts w:ascii="Arial" w:hAnsi="Arial" w:cs="Arial"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t>MONITOREO DEL DESEMPEÑO INSTITUCIONAL</w:t>
            </w:r>
          </w:p>
        </w:tc>
      </w:tr>
      <w:tr w:rsidR="003D0138" w:rsidRPr="00FC32E2" w14:paraId="5B1BA267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999999"/>
            <w:vAlign w:val="center"/>
          </w:tcPr>
          <w:p w14:paraId="3304AA67" w14:textId="77777777" w:rsidR="003D0138" w:rsidRPr="00FC32E2" w:rsidRDefault="003D0138" w:rsidP="00BF67B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C32E2">
              <w:rPr>
                <w:rFonts w:ascii="Arial" w:hAnsi="Arial" w:cs="Arial"/>
                <w:b/>
                <w:sz w:val="18"/>
                <w:szCs w:val="16"/>
              </w:rPr>
              <w:t>OBJETIVO DE GESTIÓN</w:t>
            </w:r>
          </w:p>
        </w:tc>
        <w:tc>
          <w:tcPr>
            <w:tcW w:w="5880" w:type="dxa"/>
            <w:shd w:val="clear" w:color="auto" w:fill="A6A6A6" w:themeFill="background1" w:themeFillShade="A6"/>
            <w:vAlign w:val="center"/>
          </w:tcPr>
          <w:p w14:paraId="7AD511DF" w14:textId="6FE9FDFC" w:rsidR="003D0138" w:rsidRPr="00FC32E2" w:rsidRDefault="003D0138" w:rsidP="00BF67B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C32E2">
              <w:rPr>
                <w:rFonts w:ascii="Arial" w:hAnsi="Arial" w:cs="Arial"/>
                <w:b/>
                <w:sz w:val="18"/>
                <w:szCs w:val="16"/>
              </w:rPr>
              <w:t xml:space="preserve">PONDERACIÓN </w:t>
            </w:r>
          </w:p>
        </w:tc>
      </w:tr>
      <w:tr w:rsidR="003D0138" w:rsidRPr="00FC32E2" w14:paraId="6F386F0F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uto"/>
            <w:vAlign w:val="center"/>
          </w:tcPr>
          <w:p w14:paraId="4E323623" w14:textId="64AF16FC" w:rsidR="003D0138" w:rsidRPr="000A5EF6" w:rsidRDefault="003D0138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Gestión Eficaz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64C83224" w14:textId="07F3F789" w:rsidR="003D0138" w:rsidRPr="000A5EF6" w:rsidRDefault="00054950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  <w:r w:rsidR="003D0138">
              <w:rPr>
                <w:rFonts w:ascii="Arial" w:hAnsi="Arial" w:cs="Arial"/>
                <w:sz w:val="18"/>
                <w:szCs w:val="16"/>
              </w:rPr>
              <w:t xml:space="preserve"> %</w:t>
            </w:r>
          </w:p>
        </w:tc>
      </w:tr>
      <w:tr w:rsidR="003D0138" w:rsidRPr="00FC32E2" w14:paraId="59FD7FF6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uto"/>
            <w:vAlign w:val="center"/>
          </w:tcPr>
          <w:p w14:paraId="63098670" w14:textId="3CB505D9" w:rsidR="003D0138" w:rsidRPr="000A5EF6" w:rsidRDefault="003D0138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Eficiencia Institucional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206190D2" w14:textId="09BE8178" w:rsidR="003D0138" w:rsidRPr="000A5EF6" w:rsidRDefault="003D0138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054950">
              <w:rPr>
                <w:rFonts w:ascii="Arial" w:hAnsi="Arial" w:cs="Arial"/>
                <w:sz w:val="18"/>
                <w:szCs w:val="16"/>
              </w:rPr>
              <w:t>5</w:t>
            </w:r>
            <w:r>
              <w:rPr>
                <w:rFonts w:ascii="Arial" w:hAnsi="Arial" w:cs="Arial"/>
                <w:sz w:val="18"/>
                <w:szCs w:val="16"/>
              </w:rPr>
              <w:t xml:space="preserve"> %</w:t>
            </w:r>
          </w:p>
        </w:tc>
      </w:tr>
      <w:tr w:rsidR="003D0138" w:rsidRPr="00FC32E2" w14:paraId="42C43253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uto"/>
            <w:vAlign w:val="center"/>
          </w:tcPr>
          <w:p w14:paraId="6D22D8A1" w14:textId="757227D2" w:rsidR="003D0138" w:rsidRPr="000A5EF6" w:rsidRDefault="003D0138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Calidad de Servicio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C0F51DD" w14:textId="0C81116A" w:rsidR="003D0138" w:rsidRPr="000A5EF6" w:rsidRDefault="003D0138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054950">
              <w:rPr>
                <w:rFonts w:ascii="Arial" w:hAnsi="Arial" w:cs="Arial"/>
                <w:sz w:val="18"/>
                <w:szCs w:val="16"/>
              </w:rPr>
              <w:t>5</w:t>
            </w:r>
            <w:r>
              <w:rPr>
                <w:rFonts w:ascii="Arial" w:hAnsi="Arial" w:cs="Arial"/>
                <w:sz w:val="18"/>
                <w:szCs w:val="16"/>
              </w:rPr>
              <w:t xml:space="preserve"> %</w:t>
            </w:r>
          </w:p>
        </w:tc>
      </w:tr>
      <w:tr w:rsidR="001F1B37" w:rsidRPr="00FC32E2" w14:paraId="5A5E3689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6A6A6" w:themeFill="background1" w:themeFillShade="A6"/>
            <w:vAlign w:val="center"/>
          </w:tcPr>
          <w:p w14:paraId="72A24AF3" w14:textId="77777777" w:rsidR="001F1B37" w:rsidRDefault="001F1B37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TOTAL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57224FDA" w14:textId="77777777" w:rsidR="001F1B37" w:rsidRDefault="001F1B37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100%</w:t>
            </w:r>
          </w:p>
        </w:tc>
      </w:tr>
    </w:tbl>
    <w:p w14:paraId="6B5F0587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</w:p>
    <w:p w14:paraId="3763EB21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F4017CC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28DDB98A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5D23A119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AE81E3D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75DCE20C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5D8E909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5D70CFB7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4BDD8A54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D10931B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4FE83D70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B89C83B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FD35169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8E6D1AE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A06E452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4571C4AD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893051A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7B3791A1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DDACFDE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6E652D38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A84B8AD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0AD9E17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6F9698A4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7F6AC5EF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E38537E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1E7D162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tbl>
      <w:tblPr>
        <w:tblW w:w="184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59"/>
        <w:gridCol w:w="2552"/>
        <w:gridCol w:w="1134"/>
        <w:gridCol w:w="992"/>
        <w:gridCol w:w="1134"/>
        <w:gridCol w:w="9780"/>
      </w:tblGrid>
      <w:tr w:rsidR="00860DE5" w:rsidRPr="00013B88" w14:paraId="05964209" w14:textId="77777777" w:rsidTr="00724B34">
        <w:trPr>
          <w:trHeight w:val="737"/>
          <w:tblHeader/>
          <w:jc w:val="center"/>
        </w:trPr>
        <w:tc>
          <w:tcPr>
            <w:tcW w:w="8638" w:type="dxa"/>
            <w:gridSpan w:val="6"/>
            <w:shd w:val="clear" w:color="auto" w:fill="1F497D" w:themeFill="text2"/>
            <w:vAlign w:val="center"/>
            <w:hideMark/>
          </w:tcPr>
          <w:p w14:paraId="05585075" w14:textId="567D2536" w:rsidR="00860DE5" w:rsidRPr="00236F5A" w:rsidRDefault="00860DE5" w:rsidP="00860DE5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lastRenderedPageBreak/>
              <w:t xml:space="preserve">OBJETIVO DE GESTIÓN </w:t>
            </w:r>
          </w:p>
        </w:tc>
        <w:tc>
          <w:tcPr>
            <w:tcW w:w="9780" w:type="dxa"/>
            <w:shd w:val="clear" w:color="auto" w:fill="1F497D" w:themeFill="text2"/>
            <w:vAlign w:val="center"/>
          </w:tcPr>
          <w:p w14:paraId="2813404B" w14:textId="1AF8D169" w:rsidR="00860DE5" w:rsidRPr="008F195E" w:rsidRDefault="003D0138" w:rsidP="00860DE5">
            <w:pPr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</w:pPr>
            <w:r w:rsidRPr="003D0138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  <w:t xml:space="preserve">Gestión Eficaz (Ponderación: </w:t>
            </w:r>
            <w:r w:rsidR="00E00EB4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  <w:t>3</w:t>
            </w:r>
            <w:r w:rsidRPr="003D0138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  <w:t>0.00%.)</w:t>
            </w:r>
          </w:p>
        </w:tc>
      </w:tr>
      <w:bookmarkEnd w:id="1"/>
      <w:tr w:rsidR="00860DE5" w:rsidRPr="00013B88" w14:paraId="446A78D4" w14:textId="77777777" w:rsidTr="00724B34">
        <w:trPr>
          <w:trHeight w:val="737"/>
          <w:tblHeader/>
          <w:jc w:val="center"/>
        </w:trPr>
        <w:tc>
          <w:tcPr>
            <w:tcW w:w="567" w:type="dxa"/>
            <w:shd w:val="clear" w:color="auto" w:fill="1F497D" w:themeFill="text2"/>
            <w:vAlign w:val="center"/>
            <w:hideMark/>
          </w:tcPr>
          <w:p w14:paraId="706FFD01" w14:textId="77777777" w:rsidR="00860DE5" w:rsidRPr="0018468A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Cs w:val="14"/>
                <w:lang w:val="es-CL" w:eastAsia="es-CL"/>
              </w:rPr>
            </w:pPr>
            <w:proofErr w:type="spellStart"/>
            <w:proofErr w:type="gramStart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Nº</w:t>
            </w:r>
            <w:proofErr w:type="spellEnd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 xml:space="preserve">  Meta</w:t>
            </w:r>
            <w:proofErr w:type="gramEnd"/>
          </w:p>
        </w:tc>
        <w:tc>
          <w:tcPr>
            <w:tcW w:w="2259" w:type="dxa"/>
            <w:shd w:val="clear" w:color="auto" w:fill="1F497D" w:themeFill="text2"/>
            <w:vAlign w:val="center"/>
            <w:hideMark/>
          </w:tcPr>
          <w:p w14:paraId="1349EFE0" w14:textId="77777777" w:rsidR="00860DE5" w:rsidRPr="00140AE3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Nombre Indicador</w:t>
            </w:r>
          </w:p>
        </w:tc>
        <w:tc>
          <w:tcPr>
            <w:tcW w:w="2552" w:type="dxa"/>
            <w:shd w:val="clear" w:color="auto" w:fill="1F497D" w:themeFill="text2"/>
            <w:vAlign w:val="center"/>
            <w:hideMark/>
          </w:tcPr>
          <w:p w14:paraId="1684160E" w14:textId="77777777" w:rsidR="00860DE5" w:rsidRPr="00140AE3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Fórmula de Cálculo</w:t>
            </w:r>
          </w:p>
        </w:tc>
        <w:tc>
          <w:tcPr>
            <w:tcW w:w="1134" w:type="dxa"/>
            <w:shd w:val="clear" w:color="auto" w:fill="1F497D" w:themeFill="text2"/>
            <w:vAlign w:val="center"/>
            <w:hideMark/>
          </w:tcPr>
          <w:p w14:paraId="644EDAF8" w14:textId="6E36DCC1" w:rsidR="00860DE5" w:rsidRPr="001C66BD" w:rsidRDefault="00860DE5" w:rsidP="00860DE5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Valores </w:t>
            </w:r>
            <w:r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usados para determinar Meta </w:t>
            </w:r>
            <w:r w:rsidR="00D35CD1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2020</w:t>
            </w:r>
            <w:r>
              <w:rPr>
                <w:rStyle w:val="Refdenotaalpie"/>
                <w:b/>
                <w:bCs/>
                <w:color w:val="FFFFFF"/>
                <w:sz w:val="18"/>
                <w:szCs w:val="14"/>
                <w:lang w:val="es-CL" w:eastAsia="es-CL"/>
              </w:rPr>
              <w:footnoteReference w:id="1"/>
            </w:r>
          </w:p>
        </w:tc>
        <w:tc>
          <w:tcPr>
            <w:tcW w:w="992" w:type="dxa"/>
            <w:tcBorders>
              <w:bottom w:val="single" w:sz="4" w:space="0" w:color="0000FF"/>
            </w:tcBorders>
            <w:shd w:val="clear" w:color="auto" w:fill="1F497D" w:themeFill="text2"/>
            <w:vAlign w:val="center"/>
            <w:hideMark/>
          </w:tcPr>
          <w:p w14:paraId="40334BAA" w14:textId="77777777" w:rsidR="00860DE5" w:rsidRPr="00140AE3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Meta año</w:t>
            </w:r>
          </w:p>
          <w:p w14:paraId="0AEA7DFF" w14:textId="5B84DF17" w:rsidR="00860DE5" w:rsidRPr="001C66BD" w:rsidRDefault="00D35CD1" w:rsidP="00A0335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2020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60F04CD1" w14:textId="77777777" w:rsidR="00860DE5" w:rsidRPr="001C66BD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Unidad de Medida</w:t>
            </w:r>
          </w:p>
        </w:tc>
        <w:tc>
          <w:tcPr>
            <w:tcW w:w="9780" w:type="dxa"/>
            <w:shd w:val="clear" w:color="auto" w:fill="1F497D" w:themeFill="text2"/>
            <w:vAlign w:val="center"/>
            <w:hideMark/>
          </w:tcPr>
          <w:p w14:paraId="7DBFDC11" w14:textId="77777777" w:rsidR="00860DE5" w:rsidRPr="001C66BD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Notas Técnicas</w:t>
            </w:r>
          </w:p>
        </w:tc>
      </w:tr>
      <w:tr w:rsidR="00860DE5" w:rsidRPr="00007E1F" w14:paraId="47293882" w14:textId="77777777" w:rsidTr="00724B34">
        <w:trPr>
          <w:cantSplit/>
          <w:trHeight w:val="173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43AA3236" w14:textId="77777777" w:rsidR="00860DE5" w:rsidRPr="00724B34" w:rsidRDefault="00860DE5" w:rsidP="001426FF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24B34"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355093F" w14:textId="1920286F" w:rsidR="00860DE5" w:rsidRPr="003D0138" w:rsidRDefault="00054950" w:rsidP="00F44098">
            <w:pPr>
              <w:jc w:val="both"/>
              <w:rPr>
                <w:rFonts w:ascii="Arial" w:hAnsi="Arial" w:cs="Arial"/>
                <w:szCs w:val="24"/>
              </w:rPr>
            </w:pPr>
            <w:r w:rsidRPr="00054950">
              <w:rPr>
                <w:rFonts w:ascii="Arial" w:eastAsia="Arial" w:hAnsi="Arial"/>
                <w:color w:val="000000"/>
                <w:szCs w:val="24"/>
              </w:rPr>
              <w:t>Porcentaje de indicadores predefinidos incorporados al Sistema Integrado de Información Social con desagregación territorial (SIIS-T) en el año t, respecto del total de indicadores predefinidos, definidos por la autoridad en el año 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50A89B" w14:textId="6656681F" w:rsidR="00860DE5" w:rsidRPr="00E00EB4" w:rsidRDefault="0061201E" w:rsidP="00FF1897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(</w:t>
            </w:r>
            <w:proofErr w:type="spellStart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N°</w:t>
            </w:r>
            <w:proofErr w:type="spellEnd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 xml:space="preserve"> de indicadores predefinidos incorporados al Sistema Integrado de Información Social con desagregación territorial (SIIS-T), en el año t /</w:t>
            </w:r>
            <w:proofErr w:type="spellStart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N°</w:t>
            </w:r>
            <w:proofErr w:type="spellEnd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 xml:space="preserve"> total de indicadores predefinidos, definidos por la autoridad en el año </w:t>
            </w:r>
            <w:proofErr w:type="gramStart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t)*</w:t>
            </w:r>
            <w:proofErr w:type="gramEnd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100</w:t>
            </w:r>
            <w:r w:rsidRPr="0061201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0F961" w14:textId="29E93E06" w:rsidR="00860DE5" w:rsidRPr="0061201E" w:rsidRDefault="0061201E" w:rsidP="001004B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13 /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BEB7D" w14:textId="22406052" w:rsidR="00860DE5" w:rsidRPr="0061201E" w:rsidRDefault="0061201E" w:rsidP="001426FF">
            <w:pPr>
              <w:jc w:val="center"/>
              <w:rPr>
                <w:rFonts w:ascii="Arial" w:hAnsi="Arial" w:cs="Arial"/>
                <w:szCs w:val="18"/>
              </w:rPr>
            </w:pPr>
            <w:r w:rsidRPr="0061201E">
              <w:rPr>
                <w:rFonts w:ascii="Arial" w:hAnsi="Arial" w:cs="Arial"/>
                <w:szCs w:val="18"/>
              </w:rPr>
              <w:t>5</w:t>
            </w:r>
            <w:r w:rsidR="003D0138" w:rsidRPr="0061201E">
              <w:rPr>
                <w:rFonts w:ascii="Arial" w:hAnsi="Arial" w:cs="Arial"/>
                <w:szCs w:val="18"/>
              </w:rPr>
              <w:t>7</w:t>
            </w:r>
            <w:r w:rsidR="00860DE5" w:rsidRPr="0061201E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5C771" w14:textId="77777777" w:rsidR="00860DE5" w:rsidRPr="0061201E" w:rsidRDefault="00860DE5" w:rsidP="001426FF">
            <w:pPr>
              <w:jc w:val="center"/>
              <w:rPr>
                <w:rFonts w:ascii="Arial" w:hAnsi="Arial" w:cs="Arial"/>
                <w:szCs w:val="18"/>
              </w:rPr>
            </w:pPr>
            <w:r w:rsidRPr="0061201E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9780" w:type="dxa"/>
            <w:shd w:val="clear" w:color="auto" w:fill="auto"/>
            <w:noWrap/>
            <w:vAlign w:val="center"/>
          </w:tcPr>
          <w:p w14:paraId="4C111A42" w14:textId="263C0AB1" w:rsidR="00860DE5" w:rsidRPr="0061201E" w:rsidRDefault="0061201E" w:rsidP="003D013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201E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a) Este indicador está asociado al Sistema Integrado de Información Social con desagregación territorial (SIIS-T) o al sistema que lo reemplace para el mismo propósito, lo que podría involucrar una nueva dirección (URL).</w:t>
            </w:r>
            <w:r w:rsidRPr="0061201E">
              <w:rPr>
                <w:rStyle w:val="scxw17285295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1201E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1201E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b) El SIIS-T (o el sistema que lo reemplace) es una plataforma de almacenamiento, gestión, procesamiento y entrega de información social desagregada a nivel territorial.</w:t>
            </w:r>
            <w:r w:rsidRPr="0061201E">
              <w:rPr>
                <w:rStyle w:val="scxw17285295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12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1201E">
              <w:rPr>
                <w:rStyle w:val="scxw172852953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1201E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 xml:space="preserve">c) Entre otras funcionalidades, el sistema permite visualizar indicadores predefinidos que entregan información social relevante sobre distintas temáticas, tales como educación, trabajo u ocupación; pobreza y vulnerabilidad, entre otras. Estos indicadores están desplegados en la plataforma en el denominado Catálogo de indicadores, que contiene un listado que se actualiza periódicamente. La fecha de publicación corresponde a la fecha en que un indicador ha sido incorporado en el Sistema y puede ser visualizado por los usuarios. La incorporación de un indicador corresponde a la fecha en que un indicador es publicado por primera vez o sus datos son actualizados en el Sistema. </w:t>
            </w:r>
            <w:r w:rsidRPr="0061201E">
              <w:rPr>
                <w:rStyle w:val="scxw17285295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12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1201E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 xml:space="preserve">d) Los niveles de desagregación territorial pueden coincidir con las divisiones político-administrativas del territorio nacional, o bien ser definidas por los usuarios del Sistema. </w:t>
            </w:r>
            <w:r w:rsidRPr="0061201E">
              <w:rPr>
                <w:rStyle w:val="scxw17285295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120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1201E">
              <w:rPr>
                <w:rStyle w:val="scxw172852953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1201E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e) Los nuevos indicadores predefinidos a ser incorporados en el SIIS-T (o el sistema que lo reemplace) serán definidos por la autoridad durante el primer trimestre del año t; y pueden referirse a cualquiera de las temáticas sociales que el Sistema permite visualizar.</w:t>
            </w:r>
          </w:p>
        </w:tc>
      </w:tr>
      <w:tr w:rsidR="000D1916" w:rsidRPr="00007E1F" w14:paraId="14F26CE1" w14:textId="77777777" w:rsidTr="000D1916">
        <w:trPr>
          <w:cantSplit/>
          <w:trHeight w:val="439"/>
          <w:jc w:val="center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69A799" w14:textId="77777777" w:rsidR="000D1916" w:rsidRPr="00724B34" w:rsidRDefault="000D1916" w:rsidP="000D191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24B34">
              <w:rPr>
                <w:rFonts w:ascii="Arial" w:hAnsi="Arial" w:cs="Arial"/>
                <w:b/>
                <w:sz w:val="22"/>
                <w:szCs w:val="18"/>
              </w:rPr>
              <w:lastRenderedPageBreak/>
              <w:t>2</w:t>
            </w:r>
          </w:p>
        </w:tc>
        <w:tc>
          <w:tcPr>
            <w:tcW w:w="2259" w:type="dxa"/>
            <w:shd w:val="clear" w:color="000000" w:fill="FFFFFF"/>
            <w:vAlign w:val="center"/>
          </w:tcPr>
          <w:p w14:paraId="1B2DCA35" w14:textId="46591668" w:rsidR="000D1916" w:rsidRPr="000D1916" w:rsidRDefault="000D1916" w:rsidP="000D1916">
            <w:pPr>
              <w:jc w:val="both"/>
              <w:rPr>
                <w:rFonts w:ascii="Arial" w:hAnsi="Arial" w:cs="Arial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Porcentaje de medidas para la igualdad de género en el año t implementadas de las seleccionadas del Programa de Trabajo anual en el año t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6B30621" w14:textId="62BD7676" w:rsidR="000D1916" w:rsidRPr="000D1916" w:rsidRDefault="000D1916" w:rsidP="000D1916">
            <w:pPr>
              <w:jc w:val="both"/>
              <w:rPr>
                <w:rFonts w:ascii="Arial" w:hAnsi="Arial" w:cs="Arial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(Número de medidas para la igualdad de género en el año t implementadas de las seleccionadas del Programa de Trabajo anual en el año t/Número de medidas para la igualdad de género comprometidas para el año t seleccionadas del Programa de Trabajo </w:t>
            </w:r>
            <w:proofErr w:type="gram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anual)*</w:t>
            </w:r>
            <w:proofErr w:type="gram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CFF06A3" w14:textId="60A09055" w:rsidR="000D1916" w:rsidRPr="00724B34" w:rsidRDefault="000D1916" w:rsidP="000D1916">
            <w:pPr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5 / 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AE9593" w14:textId="77777777" w:rsidR="000D1916" w:rsidRPr="00724B34" w:rsidRDefault="000D1916" w:rsidP="000D1916">
            <w:pPr>
              <w:jc w:val="center"/>
              <w:rPr>
                <w:rFonts w:ascii="Arial" w:hAnsi="Arial" w:cs="Arial"/>
                <w:szCs w:val="18"/>
              </w:rPr>
            </w:pPr>
            <w:r w:rsidRPr="00724B34">
              <w:rPr>
                <w:rFonts w:ascii="Arial" w:hAnsi="Arial" w:cs="Arial"/>
                <w:szCs w:val="18"/>
              </w:rPr>
              <w:t>100%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ACF3A1" w14:textId="77777777" w:rsidR="000D1916" w:rsidRPr="00724B34" w:rsidRDefault="000D1916" w:rsidP="000D1916">
            <w:pPr>
              <w:jc w:val="center"/>
              <w:rPr>
                <w:rFonts w:ascii="Arial" w:hAnsi="Arial" w:cs="Arial"/>
                <w:szCs w:val="18"/>
              </w:rPr>
            </w:pPr>
            <w:r w:rsidRPr="00724B34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9780" w:type="dxa"/>
            <w:shd w:val="clear" w:color="000000" w:fill="FFFFFF"/>
            <w:noWrap/>
            <w:vAlign w:val="center"/>
          </w:tcPr>
          <w:p w14:paraId="029B61A9" w14:textId="4EC420D6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>1. El Programa de Trabajo anual se compone de medidas que deben cubrir aspectos relevantes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de la gestión institucional, en base a las Definiciones Estratégicas presentadas en el proceso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presupuestario 2020 (Formulario A1 2020), al Plan de Igualdad entre mujeres y hombres, a la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 xml:space="preserve">Agenda de Género Gubernamental del período 2018 – </w:t>
            </w:r>
            <w:proofErr w:type="gramStart"/>
            <w:r w:rsidRPr="00E00EB4">
              <w:rPr>
                <w:rFonts w:ascii="Arial" w:hAnsi="Arial" w:cs="Arial"/>
                <w:bCs/>
                <w:sz w:val="18"/>
                <w:szCs w:val="16"/>
              </w:rPr>
              <w:t>2022,  y</w:t>
            </w:r>
            <w:proofErr w:type="gramEnd"/>
            <w:r w:rsidRPr="00E00EB4">
              <w:rPr>
                <w:rFonts w:ascii="Arial" w:hAnsi="Arial" w:cs="Arial"/>
                <w:bCs/>
                <w:sz w:val="18"/>
                <w:szCs w:val="16"/>
              </w:rPr>
              <w:t xml:space="preserve"> centradas principalmente en la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ciudadanía.</w:t>
            </w:r>
          </w:p>
          <w:p w14:paraId="465C945D" w14:textId="169085AE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>2. Las medidas para la igualdad de género son un conjunto de acciones y/o actividades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transversales vinculadas a gestión interna y, estratégicas vinculadas a los productos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estratégicos definidos en el formulario A1 2020 que realizan los servicios, a través de las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cuales abordan programas y/o líneas de trabajo orientadas a contribuir en la disminución de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inequidad(es), brecha(s) y/o barrera(as) de género, correspondientes al ámbito de acción del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Servicio.</w:t>
            </w:r>
          </w:p>
          <w:p w14:paraId="54D8A28B" w14:textId="51634033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>3. Las medidas para la igualdad de género comprometidas para el año t, serán parte de un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Programa de Trabajo anual elaborado en el año t</w:t>
            </w:r>
            <w:r w:rsidRPr="00E00EB4">
              <w:rPr>
                <w:rFonts w:ascii="Cambria Math" w:hAnsi="Cambria Math" w:cs="Cambria Math"/>
                <w:bCs/>
                <w:sz w:val="18"/>
                <w:szCs w:val="16"/>
              </w:rPr>
              <w:t>‐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1 y revisado por la Subsecretaría de la Mujer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y la Equidad de Género, la que emitirá opinión técnica al respecto a más tardar el 16 de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diciembre del año 2019. El programa de trabajo anual, además, deberá contar con la</w:t>
            </w:r>
          </w:p>
          <w:p w14:paraId="15E09F57" w14:textId="77777777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 xml:space="preserve">aprobación del </w:t>
            </w:r>
            <w:proofErr w:type="gramStart"/>
            <w:r w:rsidRPr="00E00EB4">
              <w:rPr>
                <w:rFonts w:ascii="Arial" w:hAnsi="Arial" w:cs="Arial"/>
                <w:bCs/>
                <w:sz w:val="18"/>
                <w:szCs w:val="16"/>
              </w:rPr>
              <w:t>Jefe</w:t>
            </w:r>
            <w:proofErr w:type="gramEnd"/>
            <w:r w:rsidRPr="00E00EB4">
              <w:rPr>
                <w:rFonts w:ascii="Arial" w:hAnsi="Arial" w:cs="Arial"/>
                <w:bCs/>
                <w:sz w:val="18"/>
                <w:szCs w:val="16"/>
              </w:rPr>
              <w:t xml:space="preserve"> Superior del Servicio.</w:t>
            </w:r>
          </w:p>
          <w:p w14:paraId="6065C327" w14:textId="77777777" w:rsidR="006B460A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>4. El Servicio deberá seleccionar un máximo de 5 medidas de género según el siguiente listado,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las que deberán contar con opinión técnica de la Red de Expertos: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  <w:p w14:paraId="09794388" w14:textId="18AA82B9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>i. Diagnóstico institucional de género.</w:t>
            </w:r>
          </w:p>
          <w:p w14:paraId="0C207D45" w14:textId="77777777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00EB4">
              <w:rPr>
                <w:rFonts w:ascii="Arial" w:hAnsi="Arial" w:cs="Arial"/>
                <w:bCs/>
                <w:sz w:val="18"/>
                <w:szCs w:val="16"/>
              </w:rPr>
              <w:t>ii</w:t>
            </w:r>
            <w:proofErr w:type="spellEnd"/>
            <w:r w:rsidRPr="00E00EB4">
              <w:rPr>
                <w:rFonts w:ascii="Arial" w:hAnsi="Arial" w:cs="Arial"/>
                <w:bCs/>
                <w:sz w:val="18"/>
                <w:szCs w:val="16"/>
              </w:rPr>
              <w:t>. Planificación institucional incorporando perspectiva de género.</w:t>
            </w:r>
          </w:p>
          <w:p w14:paraId="557270C5" w14:textId="77777777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00EB4">
              <w:rPr>
                <w:rFonts w:ascii="Arial" w:hAnsi="Arial" w:cs="Arial"/>
                <w:bCs/>
                <w:sz w:val="18"/>
                <w:szCs w:val="16"/>
              </w:rPr>
              <w:t>iii</w:t>
            </w:r>
            <w:proofErr w:type="spellEnd"/>
            <w:r w:rsidRPr="00E00EB4">
              <w:rPr>
                <w:rFonts w:ascii="Arial" w:hAnsi="Arial" w:cs="Arial"/>
                <w:bCs/>
                <w:sz w:val="18"/>
                <w:szCs w:val="16"/>
              </w:rPr>
              <w:t>. Política institucional de gestión de personas con perspectiva de género.</w:t>
            </w:r>
          </w:p>
          <w:p w14:paraId="6786960E" w14:textId="09C9CDBB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00EB4">
              <w:rPr>
                <w:rFonts w:ascii="Arial" w:hAnsi="Arial" w:cs="Arial"/>
                <w:bCs/>
                <w:sz w:val="18"/>
                <w:szCs w:val="16"/>
              </w:rPr>
              <w:t>iv</w:t>
            </w:r>
            <w:proofErr w:type="spellEnd"/>
            <w:r w:rsidRPr="00E00EB4">
              <w:rPr>
                <w:rFonts w:ascii="Arial" w:hAnsi="Arial" w:cs="Arial"/>
                <w:bCs/>
                <w:sz w:val="18"/>
                <w:szCs w:val="16"/>
              </w:rPr>
              <w:t>. Protocolos y/o procedimientos en caso de maltrato, acoso sexual y/o laboral con perspectiva de género.</w:t>
            </w:r>
          </w:p>
          <w:p w14:paraId="31377DD0" w14:textId="77777777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>v. Capacitación a funcionarias/os del servicio en materia de género nivel básico.</w:t>
            </w:r>
          </w:p>
          <w:p w14:paraId="61DD5526" w14:textId="25817CCA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>vi. Capacitación a funcionarias/os del servicio en materia de género nivel avanzado (aplicado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al quehacer del servicio).</w:t>
            </w:r>
          </w:p>
          <w:p w14:paraId="03187B1C" w14:textId="77777777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00EB4">
              <w:rPr>
                <w:rFonts w:ascii="Arial" w:hAnsi="Arial" w:cs="Arial"/>
                <w:bCs/>
                <w:sz w:val="18"/>
                <w:szCs w:val="16"/>
              </w:rPr>
              <w:t>vii</w:t>
            </w:r>
            <w:proofErr w:type="spellEnd"/>
            <w:r w:rsidRPr="00E00EB4">
              <w:rPr>
                <w:rFonts w:ascii="Arial" w:hAnsi="Arial" w:cs="Arial"/>
                <w:bCs/>
                <w:sz w:val="18"/>
                <w:szCs w:val="16"/>
              </w:rPr>
              <w:t>. Comunicaciones y difusión interna y externa con perspectiva de género.</w:t>
            </w:r>
          </w:p>
          <w:p w14:paraId="37688053" w14:textId="6CE6BA07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00EB4">
              <w:rPr>
                <w:rFonts w:ascii="Arial" w:hAnsi="Arial" w:cs="Arial"/>
                <w:bCs/>
                <w:sz w:val="18"/>
                <w:szCs w:val="16"/>
              </w:rPr>
              <w:t>viii</w:t>
            </w:r>
            <w:proofErr w:type="spellEnd"/>
            <w:r w:rsidRPr="00E00EB4">
              <w:rPr>
                <w:rFonts w:ascii="Arial" w:hAnsi="Arial" w:cs="Arial"/>
                <w:bCs/>
                <w:sz w:val="18"/>
                <w:szCs w:val="16"/>
              </w:rPr>
              <w:t>. Políticas y programas públicos elaborados por el servicio: perspectiva de género en el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diseño, implementación, seguimiento y/o evaluación de uno o más programas públicos.</w:t>
            </w:r>
          </w:p>
          <w:p w14:paraId="3F0FD0F6" w14:textId="77777777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00EB4">
              <w:rPr>
                <w:rFonts w:ascii="Arial" w:hAnsi="Arial" w:cs="Arial"/>
                <w:bCs/>
                <w:sz w:val="18"/>
                <w:szCs w:val="16"/>
              </w:rPr>
              <w:t>ix</w:t>
            </w:r>
            <w:proofErr w:type="spellEnd"/>
            <w:r w:rsidRPr="00E00EB4">
              <w:rPr>
                <w:rFonts w:ascii="Arial" w:hAnsi="Arial" w:cs="Arial"/>
                <w:bCs/>
                <w:sz w:val="18"/>
                <w:szCs w:val="16"/>
              </w:rPr>
              <w:t>. Legislación/normativa con perspectiva de género.</w:t>
            </w:r>
          </w:p>
          <w:p w14:paraId="5CD03AEB" w14:textId="77777777" w:rsidR="000D1916" w:rsidRPr="00E00EB4" w:rsidRDefault="000D1916" w:rsidP="000D1916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>x. Estudios, datos y estadísticas con información desagregada por sexo.</w:t>
            </w:r>
          </w:p>
          <w:p w14:paraId="680B4F69" w14:textId="205B3B9B" w:rsidR="000D1916" w:rsidRPr="00E00EB4" w:rsidRDefault="000D1916" w:rsidP="006B460A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00EB4">
              <w:rPr>
                <w:rFonts w:ascii="Arial" w:hAnsi="Arial" w:cs="Arial"/>
                <w:bCs/>
                <w:sz w:val="18"/>
                <w:szCs w:val="16"/>
              </w:rPr>
              <w:t>5. Una medida se considerará implementada cuando se cumple con la realización del 100% de la</w:t>
            </w:r>
            <w:r w:rsidR="006B460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00EB4">
              <w:rPr>
                <w:rFonts w:ascii="Arial" w:hAnsi="Arial" w:cs="Arial"/>
                <w:bCs/>
                <w:sz w:val="18"/>
                <w:szCs w:val="16"/>
              </w:rPr>
              <w:t>actividad comprometida.</w:t>
            </w:r>
          </w:p>
        </w:tc>
      </w:tr>
    </w:tbl>
    <w:p w14:paraId="552BA72A" w14:textId="77777777" w:rsidR="001426FF" w:rsidRDefault="001426FF"/>
    <w:p w14:paraId="06B8E2AF" w14:textId="77777777" w:rsidR="00CB7B82" w:rsidRDefault="00CB7B82"/>
    <w:tbl>
      <w:tblPr>
        <w:tblW w:w="184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31"/>
        <w:gridCol w:w="1984"/>
        <w:gridCol w:w="1276"/>
        <w:gridCol w:w="851"/>
        <w:gridCol w:w="711"/>
        <w:gridCol w:w="11199"/>
      </w:tblGrid>
      <w:tr w:rsidR="006F75CB" w:rsidRPr="00013B88" w14:paraId="3CE58673" w14:textId="77777777" w:rsidTr="006207CE">
        <w:trPr>
          <w:trHeight w:val="737"/>
          <w:tblHeader/>
          <w:jc w:val="center"/>
        </w:trPr>
        <w:tc>
          <w:tcPr>
            <w:tcW w:w="7219" w:type="dxa"/>
            <w:gridSpan w:val="6"/>
            <w:shd w:val="clear" w:color="auto" w:fill="1F497D" w:themeFill="text2"/>
            <w:vAlign w:val="center"/>
            <w:hideMark/>
          </w:tcPr>
          <w:p w14:paraId="7DDD00AD" w14:textId="7FEA0B0B" w:rsidR="006F75CB" w:rsidRPr="00236F5A" w:rsidRDefault="00A3330C" w:rsidP="002D40ED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>
              <w:lastRenderedPageBreak/>
              <w:br w:type="page"/>
            </w:r>
            <w:r w:rsidR="006F75CB">
              <w:rPr>
                <w:rFonts w:cs="Arial"/>
                <w:b/>
                <w:color w:val="FFFFFF" w:themeColor="background1"/>
                <w:sz w:val="26"/>
                <w:szCs w:val="26"/>
              </w:rPr>
              <w:t>OBJETIVO DE GESTIÓN</w:t>
            </w:r>
          </w:p>
        </w:tc>
        <w:tc>
          <w:tcPr>
            <w:tcW w:w="11199" w:type="dxa"/>
            <w:shd w:val="clear" w:color="auto" w:fill="1F497D" w:themeFill="text2"/>
            <w:vAlign w:val="center"/>
          </w:tcPr>
          <w:p w14:paraId="226FFA64" w14:textId="7E6AB119" w:rsidR="006F75CB" w:rsidRPr="008F195E" w:rsidRDefault="003A1B53" w:rsidP="002D40ED">
            <w:pPr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</w:pP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Eficiencia Institucional (Ponderación: 3</w:t>
            </w:r>
            <w:r w:rsidR="00E00EB4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5</w:t>
            </w: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.00%.)</w:t>
            </w:r>
          </w:p>
        </w:tc>
      </w:tr>
      <w:tr w:rsidR="006F75CB" w:rsidRPr="00013B88" w14:paraId="2ADC4B7B" w14:textId="77777777" w:rsidTr="006207CE">
        <w:trPr>
          <w:trHeight w:val="737"/>
          <w:tblHeader/>
          <w:jc w:val="center"/>
        </w:trPr>
        <w:tc>
          <w:tcPr>
            <w:tcW w:w="566" w:type="dxa"/>
            <w:shd w:val="clear" w:color="auto" w:fill="1F497D" w:themeFill="text2"/>
            <w:vAlign w:val="center"/>
            <w:hideMark/>
          </w:tcPr>
          <w:p w14:paraId="4C63C57D" w14:textId="77777777" w:rsidR="006F75CB" w:rsidRPr="0018468A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Cs w:val="14"/>
                <w:lang w:val="es-CL" w:eastAsia="es-CL"/>
              </w:rPr>
            </w:pPr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Nº  Meta</w:t>
            </w:r>
          </w:p>
        </w:tc>
        <w:tc>
          <w:tcPr>
            <w:tcW w:w="1831" w:type="dxa"/>
            <w:shd w:val="clear" w:color="auto" w:fill="1F497D" w:themeFill="text2"/>
            <w:vAlign w:val="center"/>
            <w:hideMark/>
          </w:tcPr>
          <w:p w14:paraId="2A9C32D7" w14:textId="77777777" w:rsidR="006F75CB" w:rsidRPr="00140AE3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Nombre Indicador</w:t>
            </w:r>
          </w:p>
        </w:tc>
        <w:tc>
          <w:tcPr>
            <w:tcW w:w="1984" w:type="dxa"/>
            <w:shd w:val="clear" w:color="auto" w:fill="1F497D" w:themeFill="text2"/>
            <w:vAlign w:val="center"/>
            <w:hideMark/>
          </w:tcPr>
          <w:p w14:paraId="45572132" w14:textId="77777777" w:rsidR="006F75CB" w:rsidRPr="00140AE3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Fórmula de Cálculo</w:t>
            </w:r>
          </w:p>
        </w:tc>
        <w:tc>
          <w:tcPr>
            <w:tcW w:w="1276" w:type="dxa"/>
            <w:shd w:val="clear" w:color="auto" w:fill="1F497D" w:themeFill="text2"/>
            <w:vAlign w:val="center"/>
            <w:hideMark/>
          </w:tcPr>
          <w:p w14:paraId="3AA152C2" w14:textId="33E438CE" w:rsidR="006F75CB" w:rsidRPr="001C66BD" w:rsidRDefault="006F75CB" w:rsidP="00CF2E8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Valores </w:t>
            </w:r>
            <w:r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usados para determinar Meta </w:t>
            </w:r>
            <w:r w:rsidR="00D35CD1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0000FF"/>
            </w:tcBorders>
            <w:shd w:val="clear" w:color="auto" w:fill="1F497D" w:themeFill="text2"/>
            <w:vAlign w:val="center"/>
            <w:hideMark/>
          </w:tcPr>
          <w:p w14:paraId="59F09CEA" w14:textId="77777777" w:rsidR="006F75CB" w:rsidRPr="00140AE3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Meta año</w:t>
            </w:r>
          </w:p>
          <w:p w14:paraId="7EC09EF0" w14:textId="7B50A979" w:rsidR="006F75CB" w:rsidRPr="001C66BD" w:rsidRDefault="00D35CD1" w:rsidP="006F75CB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2020</w:t>
            </w:r>
          </w:p>
        </w:tc>
        <w:tc>
          <w:tcPr>
            <w:tcW w:w="711" w:type="dxa"/>
            <w:shd w:val="clear" w:color="auto" w:fill="1F497D" w:themeFill="text2"/>
            <w:vAlign w:val="center"/>
          </w:tcPr>
          <w:p w14:paraId="3E9E4689" w14:textId="77777777" w:rsidR="006F75CB" w:rsidRPr="001C66BD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Unidad de Medida</w:t>
            </w:r>
          </w:p>
        </w:tc>
        <w:tc>
          <w:tcPr>
            <w:tcW w:w="11199" w:type="dxa"/>
            <w:shd w:val="clear" w:color="auto" w:fill="1F497D" w:themeFill="text2"/>
            <w:vAlign w:val="center"/>
            <w:hideMark/>
          </w:tcPr>
          <w:p w14:paraId="5904DE98" w14:textId="77777777" w:rsidR="006F75CB" w:rsidRPr="001C66BD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Notas Técnicas</w:t>
            </w:r>
          </w:p>
        </w:tc>
      </w:tr>
      <w:tr w:rsidR="003A1B53" w:rsidRPr="00007E1F" w14:paraId="722ED04A" w14:textId="77777777" w:rsidTr="003A1B53">
        <w:trPr>
          <w:cantSplit/>
          <w:trHeight w:val="1731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6048747D" w14:textId="77777777" w:rsidR="003A1B53" w:rsidRPr="007D007C" w:rsidRDefault="003A1B53" w:rsidP="003A1B53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D007C"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4BF1D2DB" w14:textId="70A08440" w:rsidR="003A1B53" w:rsidRPr="003A1B53" w:rsidRDefault="003A1B53" w:rsidP="003A1B53">
            <w:pPr>
              <w:rPr>
                <w:rFonts w:ascii="Arial" w:hAnsi="Arial" w:cs="Arial"/>
                <w:szCs w:val="24"/>
              </w:rPr>
            </w:pPr>
            <w:r w:rsidRPr="003A1B53">
              <w:rPr>
                <w:rFonts w:ascii="Arial" w:eastAsia="Arial" w:hAnsi="Arial"/>
                <w:color w:val="000000"/>
                <w:szCs w:val="24"/>
              </w:rPr>
              <w:t>Índice de eficiencia energética.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732FDB8" w14:textId="1C1E10AF" w:rsidR="003A1B53" w:rsidRPr="003A1B53" w:rsidRDefault="003A1B53" w:rsidP="003A1B53">
            <w:pPr>
              <w:rPr>
                <w:rFonts w:ascii="Arial" w:hAnsi="Arial" w:cs="Arial"/>
                <w:szCs w:val="24"/>
              </w:rPr>
            </w:pPr>
            <w:r w:rsidRPr="003A1B53">
              <w:rPr>
                <w:rFonts w:ascii="Arial" w:eastAsia="Arial" w:hAnsi="Arial"/>
                <w:color w:val="000000"/>
                <w:szCs w:val="24"/>
              </w:rPr>
              <w:t xml:space="preserve">Consumo Total de Energía (CTE) en el </w:t>
            </w:r>
            <w:proofErr w:type="gramStart"/>
            <w:r w:rsidRPr="003A1B53">
              <w:rPr>
                <w:rFonts w:ascii="Arial" w:eastAsia="Arial" w:hAnsi="Arial"/>
                <w:color w:val="000000"/>
                <w:szCs w:val="24"/>
              </w:rPr>
              <w:t>año  t</w:t>
            </w:r>
            <w:proofErr w:type="gramEnd"/>
            <w:r w:rsidRPr="003A1B53">
              <w:rPr>
                <w:rFonts w:ascii="Arial" w:eastAsia="Arial" w:hAnsi="Arial"/>
                <w:color w:val="000000"/>
                <w:szCs w:val="24"/>
              </w:rPr>
              <w:t>/Superficie Total (ST) del conjunto de edificaciones utilizadas por el servicio en el año 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A3C2D60" w14:textId="77777777" w:rsidR="003A1B53" w:rsidRPr="00592C80" w:rsidRDefault="003A1B53" w:rsidP="003A1B53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N/A</w:t>
            </w:r>
            <w:r>
              <w:rPr>
                <w:rStyle w:val="Refdenotaalpie"/>
                <w:rFonts w:ascii="Arial" w:hAnsi="Arial"/>
                <w:color w:val="000000"/>
                <w:szCs w:val="16"/>
              </w:rPr>
              <w:footnoteReference w:id="2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A571D4" w14:textId="598401D7" w:rsidR="003A1B53" w:rsidRPr="007D007C" w:rsidRDefault="000D1916" w:rsidP="003A1B5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Mide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130C7D1A" w14:textId="005F7371" w:rsidR="003A1B53" w:rsidRPr="007D007C" w:rsidRDefault="007D5B26" w:rsidP="003A1B53">
            <w:pPr>
              <w:jc w:val="center"/>
              <w:rPr>
                <w:rFonts w:ascii="Arial" w:hAnsi="Arial" w:cs="Arial"/>
                <w:szCs w:val="18"/>
              </w:rPr>
            </w:pPr>
            <w:r w:rsidRPr="00320F03">
              <w:rPr>
                <w:rFonts w:ascii="Arial" w:hAnsi="Arial" w:cs="Arial"/>
                <w:szCs w:val="18"/>
              </w:rPr>
              <w:t>kWh/m2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5AEAA87A" w14:textId="7E6167E9" w:rsidR="003B0717" w:rsidRPr="003B0717" w:rsidRDefault="003A1B53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717" w:rsidRPr="003B0717">
              <w:rPr>
                <w:rFonts w:ascii="Arial" w:hAnsi="Arial" w:cs="Arial"/>
                <w:sz w:val="18"/>
                <w:szCs w:val="18"/>
              </w:rPr>
              <w:t>1. Se entenderá por CTE (Consumo Total de Energía) los kilowatt</w:t>
            </w:r>
            <w:r w:rsidR="003B0717" w:rsidRPr="003B0717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="003B0717" w:rsidRPr="003B0717">
              <w:rPr>
                <w:rFonts w:ascii="Arial" w:hAnsi="Arial" w:cs="Arial"/>
                <w:sz w:val="18"/>
                <w:szCs w:val="18"/>
              </w:rPr>
              <w:t xml:space="preserve"> hora (kWh) totales consumidos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717" w:rsidRPr="003B0717">
              <w:rPr>
                <w:rFonts w:ascii="Arial" w:hAnsi="Arial" w:cs="Arial"/>
                <w:sz w:val="18"/>
                <w:szCs w:val="18"/>
              </w:rPr>
              <w:t>de todas las fuentes energéticas utilizadas por el Servicio, que cuenten con una lectura efectiva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717" w:rsidRPr="003B0717">
              <w:rPr>
                <w:rFonts w:ascii="Arial" w:hAnsi="Arial" w:cs="Arial"/>
                <w:sz w:val="18"/>
                <w:szCs w:val="18"/>
              </w:rPr>
              <w:t xml:space="preserve">mediante medidores o </w:t>
            </w:r>
            <w:proofErr w:type="spellStart"/>
            <w:r w:rsidR="003B0717" w:rsidRPr="003B0717">
              <w:rPr>
                <w:rFonts w:ascii="Arial" w:hAnsi="Arial" w:cs="Arial"/>
                <w:sz w:val="18"/>
                <w:szCs w:val="18"/>
              </w:rPr>
              <w:t>remarcadores</w:t>
            </w:r>
            <w:proofErr w:type="spellEnd"/>
            <w:r w:rsidR="003B0717" w:rsidRPr="003B0717">
              <w:rPr>
                <w:rFonts w:ascii="Arial" w:hAnsi="Arial" w:cs="Arial"/>
                <w:sz w:val="18"/>
                <w:szCs w:val="18"/>
              </w:rPr>
              <w:t xml:space="preserve"> de uso exclusivo de los inmuebles utilizados por el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717" w:rsidRPr="003B0717">
              <w:rPr>
                <w:rFonts w:ascii="Arial" w:hAnsi="Arial" w:cs="Arial"/>
                <w:sz w:val="18"/>
                <w:szCs w:val="18"/>
              </w:rPr>
              <w:t>servicio.</w:t>
            </w:r>
          </w:p>
          <w:p w14:paraId="0E7D4402" w14:textId="136EE7D3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 xml:space="preserve">2. Las fuentes energéticas a considerar en la medición serán la electricidad </w:t>
            </w:r>
            <w:proofErr w:type="gramStart"/>
            <w:r w:rsidRPr="003B0717">
              <w:rPr>
                <w:rFonts w:ascii="Arial" w:hAnsi="Arial" w:cs="Arial"/>
                <w:sz w:val="18"/>
                <w:szCs w:val="18"/>
              </w:rPr>
              <w:t>y  el</w:t>
            </w:r>
            <w:proofErr w:type="gramEnd"/>
            <w:r w:rsidRPr="003B0717">
              <w:rPr>
                <w:rFonts w:ascii="Arial" w:hAnsi="Arial" w:cs="Arial"/>
                <w:sz w:val="18"/>
                <w:szCs w:val="18"/>
              </w:rPr>
              <w:t xml:space="preserve"> gas natural o de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cañería (gas ciudad o gas licuado).</w:t>
            </w:r>
          </w:p>
          <w:p w14:paraId="37E766BB" w14:textId="26801E89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3. Para el cálculo del índice de eficiencia energética, se considerarán solo aquellos inmuebles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que tengan medidores o </w:t>
            </w:r>
            <w:proofErr w:type="spellStart"/>
            <w:r w:rsidRPr="003B0717">
              <w:rPr>
                <w:rFonts w:ascii="Arial" w:hAnsi="Arial" w:cs="Arial"/>
                <w:sz w:val="18"/>
                <w:szCs w:val="18"/>
              </w:rPr>
              <w:t>remarcadores</w:t>
            </w:r>
            <w:proofErr w:type="spellEnd"/>
            <w:r w:rsidRPr="003B0717">
              <w:rPr>
                <w:rFonts w:ascii="Arial" w:hAnsi="Arial" w:cs="Arial"/>
                <w:sz w:val="18"/>
                <w:szCs w:val="18"/>
              </w:rPr>
              <w:t xml:space="preserve"> de uso exclusivo y que hayan reportado 12 meses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completos en el período de medición.  </w:t>
            </w:r>
          </w:p>
          <w:p w14:paraId="608A860C" w14:textId="515984D2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4. Un mes reportado estará completo cuando se haya reportado al menos el 92% de los días de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consumo del mes (debido a diferencia en fecha de días de lectura del consumo).</w:t>
            </w:r>
          </w:p>
          <w:p w14:paraId="291AAA6C" w14:textId="5F36B8B9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5. Para su cálculo, la plataforma web www.gestionaenergia.cl que dispondrá la Subsecretaría de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Energía realizará la conversión a </w:t>
            </w:r>
            <w:proofErr w:type="spellStart"/>
            <w:r w:rsidRPr="003B0717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3B0717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0EB6F156" w14:textId="01A3BFB0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6. Se entenderá por inmueble a toda edificación utilizada por el Servicio, excluyendo bodegas,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estacionamientos y superficies no construidas, independiente de la condición de propiedad.  </w:t>
            </w:r>
          </w:p>
          <w:p w14:paraId="2ECBFE8C" w14:textId="740ACE4C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7. La ST corresponde a los metros cuadrados construidos del conjunto de inmuebles que cada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Servicio utilice durante el periodo de medición.  </w:t>
            </w:r>
          </w:p>
          <w:p w14:paraId="11F1F293" w14:textId="6CF493F7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8. Cada Servicio deberá designar, o ratificar en caso de existir uno o más funcionario(s)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acreditado(s) por la Subsecretaría de Energía para la gestión de eficiencia energética que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cumplirán el rol de Gestor Energético del Servicio. El o (los) Gestor(es) deberán registrarse en</w:t>
            </w:r>
          </w:p>
          <w:p w14:paraId="5FA93246" w14:textId="3E910CEC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la plataforma web: www.gestionaenergia.cl, realizar y aprobar el curso: “Gestión de energía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en el Sector Público”, disponible en ella o subir el certificado de la Subsecretaría en caso de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que haya realizado y aprobado el curso en la Agencia de Sostenibilidad Energética.    </w:t>
            </w:r>
          </w:p>
          <w:p w14:paraId="6DA47AD4" w14:textId="25585511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9. Cada Servicio, a más tardar en abril del año t, deberá completar y/o actualizar en la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plataforma web www.gestionaenergia.cl, un catastro de inmuebles a utilizar en el periodo de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medición, detallando su información básica (dirección, número(s) de rol(es) y superficie), así</w:t>
            </w:r>
          </w:p>
          <w:p w14:paraId="3FD49650" w14:textId="1BC44B9F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 xml:space="preserve">como los números de identificación de todos los medidores o </w:t>
            </w:r>
            <w:proofErr w:type="spellStart"/>
            <w:r w:rsidRPr="003B0717">
              <w:rPr>
                <w:rFonts w:ascii="Arial" w:hAnsi="Arial" w:cs="Arial"/>
                <w:sz w:val="18"/>
                <w:szCs w:val="18"/>
              </w:rPr>
              <w:t>remarcadores</w:t>
            </w:r>
            <w:proofErr w:type="spellEnd"/>
            <w:r w:rsidRPr="003B0717">
              <w:rPr>
                <w:rFonts w:ascii="Arial" w:hAnsi="Arial" w:cs="Arial"/>
                <w:sz w:val="18"/>
                <w:szCs w:val="18"/>
              </w:rPr>
              <w:t xml:space="preserve"> de electricidad y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gas asociados a los consumos de los referidos inmuebles. Se deben considerar todos los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inmuebles utilizados por la institución, sean estos utilizados parcial o completamente.  </w:t>
            </w:r>
          </w:p>
          <w:p w14:paraId="2D0745E7" w14:textId="00CB5E5F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10. Cada Servicio, al 31 de diciembre del año t, deberá haber reportado, en la plataforma web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www.gestionaenergia.cl, sus consumos energéticos de electricidad y gas de 12 meses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completos del período </w:t>
            </w:r>
            <w:proofErr w:type="gramStart"/>
            <w:r w:rsidRPr="003B0717">
              <w:rPr>
                <w:rFonts w:ascii="Arial" w:hAnsi="Arial" w:cs="Arial"/>
                <w:sz w:val="18"/>
                <w:szCs w:val="18"/>
              </w:rPr>
              <w:t>t ,para</w:t>
            </w:r>
            <w:proofErr w:type="gramEnd"/>
            <w:r w:rsidRPr="003B0717">
              <w:rPr>
                <w:rFonts w:ascii="Arial" w:hAnsi="Arial" w:cs="Arial"/>
                <w:sz w:val="18"/>
                <w:szCs w:val="18"/>
              </w:rPr>
              <w:t xml:space="preserve"> cada uno de los inmuebles del catastro registrados y utilizados</w:t>
            </w:r>
          </w:p>
          <w:p w14:paraId="1A6BA16D" w14:textId="620026D5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por el Servicio. Se deberá registrar el consumo y cargar en la plataforma web el documento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respectivo donde se verifique dicho </w:t>
            </w:r>
            <w:proofErr w:type="gramStart"/>
            <w:r w:rsidRPr="003B0717">
              <w:rPr>
                <w:rFonts w:ascii="Arial" w:hAnsi="Arial" w:cs="Arial"/>
                <w:sz w:val="18"/>
                <w:szCs w:val="18"/>
              </w:rPr>
              <w:t>consumo,  (</w:t>
            </w:r>
            <w:proofErr w:type="gramEnd"/>
            <w:r w:rsidRPr="003B0717">
              <w:rPr>
                <w:rFonts w:ascii="Arial" w:hAnsi="Arial" w:cs="Arial"/>
                <w:sz w:val="18"/>
                <w:szCs w:val="18"/>
              </w:rPr>
              <w:t>boleta, factura electrónica, documento de la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empresa correspondiente o registro gráfico del </w:t>
            </w:r>
            <w:proofErr w:type="spellStart"/>
            <w:r w:rsidRPr="003B0717">
              <w:rPr>
                <w:rFonts w:ascii="Arial" w:hAnsi="Arial" w:cs="Arial"/>
                <w:sz w:val="18"/>
                <w:szCs w:val="18"/>
              </w:rPr>
              <w:t>remarcador</w:t>
            </w:r>
            <w:proofErr w:type="spellEnd"/>
            <w:r w:rsidRPr="003B0717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0FBAEEA" w14:textId="6B90F410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11. Los Servicios, a más tardar el 31 de diciembre del año t, deberán completar y/o actualizar en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la plataforma web www.gestionaenergia.cl, la información de las características constructivas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(diseño pasivo) de aquellos inmuebles de su propiedad y que superen los 1.000 metros</w:t>
            </w:r>
          </w:p>
          <w:p w14:paraId="3272269E" w14:textId="77777777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 xml:space="preserve">cuadrados de superficie construida.  </w:t>
            </w:r>
          </w:p>
          <w:p w14:paraId="459EA50D" w14:textId="38A407EA" w:rsidR="003A1B53" w:rsidRPr="003B0717" w:rsidRDefault="003B0717" w:rsidP="006B4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12. El período de medición del indicador comprenderá desde el mes de noviembre del año t</w:t>
            </w:r>
            <w:r w:rsidRPr="003B0717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3B0717">
              <w:rPr>
                <w:rFonts w:ascii="Arial" w:hAnsi="Arial" w:cs="Arial"/>
                <w:sz w:val="18"/>
                <w:szCs w:val="18"/>
              </w:rPr>
              <w:t>1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hasta el mes de octubre del año t.</w:t>
            </w:r>
          </w:p>
        </w:tc>
      </w:tr>
      <w:tr w:rsidR="006173ED" w:rsidRPr="00007E1F" w14:paraId="607DDD3F" w14:textId="77777777" w:rsidTr="006173ED">
        <w:trPr>
          <w:cantSplit/>
          <w:trHeight w:val="439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08F9AEA8" w14:textId="77777777" w:rsidR="006173ED" w:rsidRPr="007D007C" w:rsidRDefault="006173ED" w:rsidP="006173E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6DAE1B9A" w14:textId="4F42251C" w:rsidR="006173ED" w:rsidRPr="006173ED" w:rsidRDefault="006173ED" w:rsidP="006173ED">
            <w:pPr>
              <w:jc w:val="both"/>
              <w:rPr>
                <w:rFonts w:ascii="Arial" w:hAnsi="Arial" w:cs="Arial"/>
                <w:szCs w:val="24"/>
              </w:rPr>
            </w:pPr>
            <w:r w:rsidRPr="006173ED">
              <w:rPr>
                <w:rFonts w:ascii="Arial" w:eastAsia="Arial" w:hAnsi="Arial"/>
                <w:color w:val="000000"/>
                <w:szCs w:val="24"/>
              </w:rPr>
              <w:t xml:space="preserve">Porcentaje de ejecución presupuestaria en el mes de diciembre del año t respecto a la ejecución del gasto total </w:t>
            </w:r>
            <w:r w:rsidR="000D1916" w:rsidRPr="006173ED">
              <w:rPr>
                <w:rFonts w:ascii="Arial" w:eastAsia="Arial" w:hAnsi="Arial"/>
                <w:color w:val="000000"/>
                <w:szCs w:val="24"/>
              </w:rPr>
              <w:t>del año</w:t>
            </w:r>
            <w:r w:rsidRPr="006173ED">
              <w:rPr>
                <w:rFonts w:ascii="Arial" w:eastAsia="Arial" w:hAnsi="Arial"/>
                <w:color w:val="000000"/>
                <w:szCs w:val="24"/>
              </w:rPr>
              <w:t xml:space="preserve"> t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B65C21B" w14:textId="39817693" w:rsidR="006173ED" w:rsidRPr="006173ED" w:rsidRDefault="006173ED" w:rsidP="006173ED">
            <w:pPr>
              <w:jc w:val="both"/>
              <w:rPr>
                <w:rFonts w:ascii="Arial" w:hAnsi="Arial" w:cs="Arial"/>
                <w:szCs w:val="24"/>
              </w:rPr>
            </w:pPr>
            <w:r w:rsidRPr="006173ED">
              <w:rPr>
                <w:rFonts w:ascii="Arial" w:eastAsia="Arial" w:hAnsi="Arial"/>
                <w:color w:val="000000"/>
                <w:szCs w:val="24"/>
              </w:rPr>
              <w:t xml:space="preserve">(Gastos ejecutados en el mes de diciembre año t/Total de gastos ejecutados en el año </w:t>
            </w:r>
            <w:proofErr w:type="gramStart"/>
            <w:r w:rsidRPr="006173ED">
              <w:rPr>
                <w:rFonts w:ascii="Arial" w:eastAsia="Arial" w:hAnsi="Arial"/>
                <w:color w:val="000000"/>
                <w:szCs w:val="24"/>
              </w:rPr>
              <w:t>t)*</w:t>
            </w:r>
            <w:proofErr w:type="gramEnd"/>
            <w:r w:rsidRPr="006173ED">
              <w:rPr>
                <w:rFonts w:ascii="Arial" w:eastAsia="Arial" w:hAnsi="Arial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D453A9" w14:textId="52C43083" w:rsidR="006173ED" w:rsidRPr="00592C80" w:rsidRDefault="00D16BC0" w:rsidP="006173ED">
            <w:pPr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3900060 /21667001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9A49AC" w14:textId="17849D1C" w:rsidR="006173ED" w:rsidRPr="00592C80" w:rsidRDefault="006173ED" w:rsidP="006173E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18%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170905B5" w14:textId="65025698" w:rsidR="006173ED" w:rsidRPr="007D007C" w:rsidRDefault="006173ED" w:rsidP="006173E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545BA6FD" w14:textId="40EE5A8E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1. Total de Gasto ejecutado corresponde a los egresos públicos definidos como los pagos efectivos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y por compromisos, las obligaciones que se devenguen y no se paguen en el respectivo ejercicio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Presupuestario.</w:t>
            </w:r>
          </w:p>
          <w:p w14:paraId="48E3F852" w14:textId="1E0050CD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2. Total de Gasto representa los flujos financieros correspondientes a la aplicación de los recursos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de la entidad que han sido autorizados como gastos en el presupuesto.  </w:t>
            </w:r>
          </w:p>
          <w:p w14:paraId="2887ED5A" w14:textId="3155F4E5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3. Registro de cifras en base devengado se refiere al registro de todos los recursos y obligaciones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en el momento que se generen, independientemente de que éstos hayan sido o no percibidos o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pagados.</w:t>
            </w:r>
          </w:p>
          <w:p w14:paraId="5A3D228E" w14:textId="3A0ACDE1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4. Se entiende por ejecución presupuestaria en el mes de diciembre a los gastos ejecutados por la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institución en el mes de diciembre del año t, esto es del 1 al 31 de diciembre.</w:t>
            </w:r>
          </w:p>
          <w:p w14:paraId="6390EA11" w14:textId="630305F6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5. Total de gastos ejecutados acumulados al cuarto trimestre, corresponde al gasto ejecutado del</w:t>
            </w:r>
            <w:r w:rsidR="006B4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1 de enero al 31 de diciembre del año t.</w:t>
            </w:r>
          </w:p>
          <w:p w14:paraId="32D2EA93" w14:textId="49706CCF" w:rsidR="006173ED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6. Cifras en Miles de $ de cada año.</w:t>
            </w:r>
          </w:p>
        </w:tc>
      </w:tr>
      <w:tr w:rsidR="00905883" w:rsidRPr="00007E1F" w14:paraId="251F9792" w14:textId="77777777" w:rsidTr="00905883">
        <w:trPr>
          <w:cantSplit/>
          <w:trHeight w:val="1115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579D9D8A" w14:textId="77777777" w:rsidR="00905883" w:rsidRPr="007D007C" w:rsidRDefault="00905883" w:rsidP="00905883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3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54B1A74D" w14:textId="105B7C37" w:rsidR="00905883" w:rsidRPr="00905883" w:rsidRDefault="00905883" w:rsidP="00905883">
            <w:pPr>
              <w:rPr>
                <w:rFonts w:ascii="Arial" w:hAnsi="Arial" w:cs="Arial"/>
                <w:szCs w:val="24"/>
              </w:rPr>
            </w:pPr>
            <w:r w:rsidRPr="00905883">
              <w:rPr>
                <w:rFonts w:ascii="Arial" w:eastAsia="Arial" w:hAnsi="Arial"/>
                <w:color w:val="000000"/>
                <w:szCs w:val="24"/>
              </w:rPr>
              <w:t>Porcentaje de ejecución de Gasto de subtítulos 22 y 29 en el año t, respecto del Presupuesto inicial de Gasto de subtítulos 22 y 29 año t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E6C0B97" w14:textId="74E8B746" w:rsidR="00905883" w:rsidRPr="00905883" w:rsidRDefault="00905883" w:rsidP="00905883">
            <w:pPr>
              <w:rPr>
                <w:rFonts w:ascii="Arial" w:hAnsi="Arial" w:cs="Arial"/>
                <w:szCs w:val="24"/>
                <w:lang w:val="es-CL"/>
              </w:rPr>
            </w:pPr>
            <w:r w:rsidRPr="00905883">
              <w:rPr>
                <w:rFonts w:ascii="Arial" w:eastAsia="Arial" w:hAnsi="Arial"/>
                <w:color w:val="000000"/>
                <w:szCs w:val="24"/>
              </w:rPr>
              <w:t xml:space="preserve">(Gasto ejecutado de subtítulos 22 y 29 en el año t/Presupuesto ley inicial de Gasto subtítulos 22 y 29 año </w:t>
            </w:r>
            <w:proofErr w:type="gramStart"/>
            <w:r w:rsidRPr="00905883">
              <w:rPr>
                <w:rFonts w:ascii="Arial" w:eastAsia="Arial" w:hAnsi="Arial"/>
                <w:color w:val="000000"/>
                <w:szCs w:val="24"/>
              </w:rPr>
              <w:t>t)*</w:t>
            </w:r>
            <w:proofErr w:type="gramEnd"/>
            <w:r w:rsidRPr="00905883">
              <w:rPr>
                <w:rFonts w:ascii="Arial" w:eastAsia="Arial" w:hAnsi="Arial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0578CB" w14:textId="655908E0" w:rsidR="00905883" w:rsidRPr="00592C80" w:rsidRDefault="00D16BC0" w:rsidP="00905883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16BC0">
              <w:rPr>
                <w:rFonts w:ascii="Arial" w:hAnsi="Arial" w:cs="Arial"/>
                <w:color w:val="000000"/>
                <w:szCs w:val="16"/>
              </w:rPr>
              <w:t>N/A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F7F4E4" w14:textId="6B1EEFFE" w:rsidR="00905883" w:rsidRPr="007D007C" w:rsidRDefault="000D1916" w:rsidP="0090588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Mide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617A8CF1" w14:textId="77777777" w:rsidR="00905883" w:rsidRPr="007D007C" w:rsidRDefault="00905883" w:rsidP="0090588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vAlign w:val="center"/>
          </w:tcPr>
          <w:p w14:paraId="55C5C792" w14:textId="4D9C4A4B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1. Los subtítulos 22 (bienes y servicios de consumo) y 29 (adquisición de activos no financieros) se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encuentran definidos en el Decreto (H) </w:t>
            </w:r>
            <w:proofErr w:type="spellStart"/>
            <w:r w:rsidRPr="003B0717">
              <w:rPr>
                <w:rFonts w:ascii="Arial" w:hAnsi="Arial" w:cs="Arial"/>
                <w:sz w:val="18"/>
                <w:szCs w:val="16"/>
              </w:rPr>
              <w:t>N°</w:t>
            </w:r>
            <w:proofErr w:type="spellEnd"/>
            <w:r w:rsidRPr="003B0717">
              <w:rPr>
                <w:rFonts w:ascii="Arial" w:hAnsi="Arial" w:cs="Arial"/>
                <w:sz w:val="18"/>
                <w:szCs w:val="16"/>
              </w:rPr>
              <w:t xml:space="preserve"> 854 de 2004 que determina clasificaciones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presupuestarias.  </w:t>
            </w:r>
          </w:p>
          <w:p w14:paraId="47CFEB88" w14:textId="1D1066BD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2. Se entiende por gasto del subtítulo 22, (bienes y servicios de consumo) a los gastos por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adquisiciones de bienes de consumo y servicios no personales, necesarios para el cumplimiento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de las funciones y actividades de los organismos del sector público.</w:t>
            </w:r>
          </w:p>
          <w:p w14:paraId="1B224626" w14:textId="18E87EEC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3. Se entiende por gasto del subtítulo 29, Adquisición de Activos No Financieros, los gastos para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formación de capital y compra de activos físicos existentes. No incluye terrenos.</w:t>
            </w:r>
          </w:p>
          <w:p w14:paraId="754A2AF2" w14:textId="4B6BAFE0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4. Los Montos de ejecución presupuestaria del gasto de subtítulos 22 y 29 corresponden a los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datos informados por las instituciones en el Sistema de Información para la Gestión Financiera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del Estado (SIGFE) de la Dirección de Presupuestos (</w:t>
            </w:r>
            <w:proofErr w:type="spellStart"/>
            <w:r w:rsidRPr="003B0717">
              <w:rPr>
                <w:rFonts w:ascii="Arial" w:hAnsi="Arial" w:cs="Arial"/>
                <w:sz w:val="18"/>
                <w:szCs w:val="16"/>
              </w:rPr>
              <w:t>Dipres</w:t>
            </w:r>
            <w:proofErr w:type="spellEnd"/>
            <w:r w:rsidRPr="003B0717">
              <w:rPr>
                <w:rFonts w:ascii="Arial" w:hAnsi="Arial" w:cs="Arial"/>
                <w:sz w:val="18"/>
                <w:szCs w:val="16"/>
              </w:rPr>
              <w:t>), en base devengado.</w:t>
            </w:r>
          </w:p>
          <w:p w14:paraId="762F27C5" w14:textId="42A4486D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5. Registro de cifras en base devengado se refiere al registro de todos los recursos y obligaciones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en el momento que se generen, independientemente de que éstos hayan sido o no percibidos o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pagados.</w:t>
            </w:r>
          </w:p>
          <w:p w14:paraId="7CACCD00" w14:textId="1CDF007C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6. Presupuesto inicial de Gasto de subtítulos 22 y 29, corresponde al Presupuesto aprobado por el</w:t>
            </w:r>
            <w:r w:rsidR="006B460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Congreso Nacional.</w:t>
            </w:r>
          </w:p>
          <w:p w14:paraId="00610593" w14:textId="0C41753C" w:rsidR="00905883" w:rsidRPr="007D007C" w:rsidRDefault="003B0717" w:rsidP="003B0717">
            <w:pPr>
              <w:jc w:val="both"/>
              <w:rPr>
                <w:rFonts w:ascii="Arial" w:hAnsi="Arial" w:cs="Arial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7. Cifras en Miles de $ de cada año</w:t>
            </w:r>
          </w:p>
        </w:tc>
      </w:tr>
    </w:tbl>
    <w:p w14:paraId="71AB03C3" w14:textId="77777777" w:rsidR="002F0F61" w:rsidRDefault="002F0F61"/>
    <w:p w14:paraId="48BC47BA" w14:textId="77777777" w:rsidR="00AF0D14" w:rsidRDefault="00AF0D14"/>
    <w:p w14:paraId="7A187605" w14:textId="77777777" w:rsidR="008011BC" w:rsidRDefault="008011BC"/>
    <w:p w14:paraId="17749AA6" w14:textId="77777777" w:rsidR="008011BC" w:rsidRDefault="008011BC"/>
    <w:p w14:paraId="6F5D9D75" w14:textId="77777777" w:rsidR="008011BC" w:rsidRDefault="008011BC"/>
    <w:p w14:paraId="756E7275" w14:textId="77777777" w:rsidR="008011BC" w:rsidRDefault="008011BC"/>
    <w:p w14:paraId="2929F482" w14:textId="77777777" w:rsidR="008011BC" w:rsidRDefault="008011BC"/>
    <w:p w14:paraId="4995D866" w14:textId="77777777" w:rsidR="008011BC" w:rsidRDefault="008011BC"/>
    <w:p w14:paraId="149B8B3D" w14:textId="77777777" w:rsidR="008011BC" w:rsidRDefault="008011BC"/>
    <w:p w14:paraId="2E394FE5" w14:textId="77777777" w:rsidR="008011BC" w:rsidRDefault="008011BC"/>
    <w:tbl>
      <w:tblPr>
        <w:tblW w:w="184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31"/>
        <w:gridCol w:w="2276"/>
        <w:gridCol w:w="984"/>
        <w:gridCol w:w="851"/>
        <w:gridCol w:w="711"/>
        <w:gridCol w:w="11199"/>
      </w:tblGrid>
      <w:tr w:rsidR="003A1B53" w:rsidRPr="00013B88" w14:paraId="2655F462" w14:textId="77777777" w:rsidTr="006D5D7C">
        <w:trPr>
          <w:trHeight w:val="737"/>
          <w:tblHeader/>
          <w:jc w:val="center"/>
        </w:trPr>
        <w:tc>
          <w:tcPr>
            <w:tcW w:w="7219" w:type="dxa"/>
            <w:gridSpan w:val="6"/>
            <w:shd w:val="clear" w:color="auto" w:fill="1F497D" w:themeFill="text2"/>
            <w:vAlign w:val="center"/>
            <w:hideMark/>
          </w:tcPr>
          <w:p w14:paraId="6465F28C" w14:textId="77777777" w:rsidR="003A1B53" w:rsidRPr="00236F5A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OBJETIVO DE GESTIÓN</w:t>
            </w:r>
          </w:p>
        </w:tc>
        <w:tc>
          <w:tcPr>
            <w:tcW w:w="11199" w:type="dxa"/>
            <w:shd w:val="clear" w:color="auto" w:fill="1F497D" w:themeFill="text2"/>
            <w:vAlign w:val="center"/>
          </w:tcPr>
          <w:p w14:paraId="3616DE2B" w14:textId="02BC957A" w:rsidR="003A1B53" w:rsidRPr="008F195E" w:rsidRDefault="003A1B53" w:rsidP="006D5D7C">
            <w:pPr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</w:pP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Calidad de Servicio (Ponderación: 3</w:t>
            </w:r>
            <w:r w:rsidR="00E00EB4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5</w:t>
            </w: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.00%.)</w:t>
            </w:r>
          </w:p>
        </w:tc>
      </w:tr>
      <w:tr w:rsidR="003A1B53" w:rsidRPr="00013B88" w14:paraId="25CDC20A" w14:textId="77777777" w:rsidTr="000D1916">
        <w:trPr>
          <w:trHeight w:val="737"/>
          <w:tblHeader/>
          <w:jc w:val="center"/>
        </w:trPr>
        <w:tc>
          <w:tcPr>
            <w:tcW w:w="566" w:type="dxa"/>
            <w:shd w:val="clear" w:color="auto" w:fill="1F497D" w:themeFill="text2"/>
            <w:vAlign w:val="center"/>
            <w:hideMark/>
          </w:tcPr>
          <w:p w14:paraId="4A8D287F" w14:textId="77777777" w:rsidR="003A1B53" w:rsidRPr="0018468A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Cs w:val="14"/>
                <w:lang w:val="es-CL" w:eastAsia="es-CL"/>
              </w:rPr>
            </w:pPr>
            <w:proofErr w:type="spellStart"/>
            <w:proofErr w:type="gramStart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Nº</w:t>
            </w:r>
            <w:proofErr w:type="spellEnd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 xml:space="preserve">  Meta</w:t>
            </w:r>
            <w:proofErr w:type="gramEnd"/>
          </w:p>
        </w:tc>
        <w:tc>
          <w:tcPr>
            <w:tcW w:w="1831" w:type="dxa"/>
            <w:shd w:val="clear" w:color="auto" w:fill="1F497D" w:themeFill="text2"/>
            <w:vAlign w:val="center"/>
            <w:hideMark/>
          </w:tcPr>
          <w:p w14:paraId="24576243" w14:textId="77777777" w:rsidR="003A1B53" w:rsidRPr="00140AE3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Nombre Indicador</w:t>
            </w:r>
          </w:p>
        </w:tc>
        <w:tc>
          <w:tcPr>
            <w:tcW w:w="2276" w:type="dxa"/>
            <w:shd w:val="clear" w:color="auto" w:fill="1F497D" w:themeFill="text2"/>
            <w:vAlign w:val="center"/>
            <w:hideMark/>
          </w:tcPr>
          <w:p w14:paraId="47615AD0" w14:textId="77777777" w:rsidR="003A1B53" w:rsidRPr="00140AE3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Fórmula de Cálculo</w:t>
            </w:r>
          </w:p>
        </w:tc>
        <w:tc>
          <w:tcPr>
            <w:tcW w:w="984" w:type="dxa"/>
            <w:shd w:val="clear" w:color="auto" w:fill="1F497D" w:themeFill="text2"/>
            <w:vAlign w:val="center"/>
            <w:hideMark/>
          </w:tcPr>
          <w:p w14:paraId="7CE5B96C" w14:textId="095FEEE4" w:rsidR="003A1B53" w:rsidRPr="001C66BD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Valores </w:t>
            </w:r>
            <w:r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usados para determinar Meta </w:t>
            </w:r>
            <w:r w:rsidR="00D35CD1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0000FF"/>
            </w:tcBorders>
            <w:shd w:val="clear" w:color="auto" w:fill="1F497D" w:themeFill="text2"/>
            <w:vAlign w:val="center"/>
            <w:hideMark/>
          </w:tcPr>
          <w:p w14:paraId="1407589A" w14:textId="77777777" w:rsidR="003A1B53" w:rsidRPr="00140AE3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Meta año</w:t>
            </w:r>
          </w:p>
          <w:p w14:paraId="78DEC2DD" w14:textId="3168A284" w:rsidR="003A1B53" w:rsidRPr="001C66BD" w:rsidRDefault="00D35CD1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2020</w:t>
            </w:r>
          </w:p>
        </w:tc>
        <w:tc>
          <w:tcPr>
            <w:tcW w:w="711" w:type="dxa"/>
            <w:shd w:val="clear" w:color="auto" w:fill="1F497D" w:themeFill="text2"/>
            <w:vAlign w:val="center"/>
          </w:tcPr>
          <w:p w14:paraId="14E69DF6" w14:textId="77777777" w:rsidR="003A1B53" w:rsidRPr="001C66BD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Unidad de Medida</w:t>
            </w:r>
          </w:p>
        </w:tc>
        <w:tc>
          <w:tcPr>
            <w:tcW w:w="11199" w:type="dxa"/>
            <w:shd w:val="clear" w:color="auto" w:fill="1F497D" w:themeFill="text2"/>
            <w:vAlign w:val="center"/>
            <w:hideMark/>
          </w:tcPr>
          <w:p w14:paraId="6E469BA4" w14:textId="77777777" w:rsidR="003A1B53" w:rsidRPr="001C66BD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Notas Técnicas</w:t>
            </w:r>
          </w:p>
        </w:tc>
      </w:tr>
      <w:tr w:rsidR="000D1916" w:rsidRPr="00007E1F" w14:paraId="0E822524" w14:textId="77777777" w:rsidTr="000D1916">
        <w:trPr>
          <w:cantSplit/>
          <w:trHeight w:val="1731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6199BCFE" w14:textId="77777777" w:rsidR="000D1916" w:rsidRPr="007D007C" w:rsidRDefault="000D1916" w:rsidP="000D191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D007C"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1831" w:type="dxa"/>
            <w:shd w:val="clear" w:color="000000" w:fill="FFFFFF"/>
          </w:tcPr>
          <w:p w14:paraId="727ED4AD" w14:textId="3B642395" w:rsidR="000D1916" w:rsidRPr="000D1916" w:rsidRDefault="000D1916" w:rsidP="000D1916">
            <w:pPr>
              <w:rPr>
                <w:rFonts w:ascii="Arial" w:hAnsi="Arial" w:cs="Arial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Porcentaje de Informes de Seguimiento de Programas e Iniciativas Sociales publicados en el BIPS en los plazos establecidos en la programación, respecto del total de Programas e Iniciativas Sociales que cumplan los criterios para ingresar al proceso </w:t>
            </w:r>
            <w:r w:rsidRPr="000D1916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6" w:type="dxa"/>
            <w:shd w:val="clear" w:color="000000" w:fill="FFFFFF"/>
          </w:tcPr>
          <w:p w14:paraId="06B1E823" w14:textId="0BB5E891" w:rsidR="000D1916" w:rsidRPr="000D1916" w:rsidRDefault="000D1916" w:rsidP="000D1916">
            <w:pPr>
              <w:rPr>
                <w:rFonts w:ascii="Arial" w:hAnsi="Arial" w:cs="Arial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(</w:t>
            </w:r>
            <w:proofErr w:type="spell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N°</w:t>
            </w:r>
            <w:proofErr w:type="spell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de Informes de Seguimiento de Programas e Iniciativas Sociales publicados en el BIPS, en los plazos establecidos en la programación de la División de Políticas Sociales /</w:t>
            </w:r>
            <w:proofErr w:type="spell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N°</w:t>
            </w:r>
            <w:proofErr w:type="spell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total de Programas e Iniciativas Sociales que cumplan con los criterios para ingresar al proceso de seguimiento en el año </w:t>
            </w:r>
            <w:proofErr w:type="gram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t)*</w:t>
            </w:r>
            <w:proofErr w:type="gram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100</w:t>
            </w:r>
            <w:r w:rsidRPr="000D1916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722340C8" w14:textId="6FE2ED50" w:rsidR="000D1916" w:rsidRPr="00592C80" w:rsidRDefault="0000018F" w:rsidP="000D1916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00018F">
              <w:rPr>
                <w:rFonts w:ascii="Arial" w:hAnsi="Arial" w:cs="Arial"/>
                <w:color w:val="000000"/>
                <w:szCs w:val="16"/>
              </w:rPr>
              <w:t>440 /440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793017" w14:textId="2973DB98" w:rsidR="000D1916" w:rsidRPr="007D007C" w:rsidRDefault="0000018F" w:rsidP="000D191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100</w:t>
            </w:r>
            <w:r w:rsidR="000D1916">
              <w:rPr>
                <w:rFonts w:ascii="Arial" w:hAnsi="Arial" w:cs="Arial"/>
                <w:szCs w:val="18"/>
              </w:rPr>
              <w:t xml:space="preserve">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3D36D0E0" w14:textId="77777777" w:rsidR="000D1916" w:rsidRPr="007D007C" w:rsidRDefault="000D1916" w:rsidP="000D191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7DE67E24" w14:textId="702C3D69" w:rsidR="000D1916" w:rsidRPr="000D1916" w:rsidRDefault="000D1916" w:rsidP="000D19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a)  Entre enero y abril del año t se levanta el número total de Programas e Iniciativas Sociales que cumplan con los criterios para ingresar al proceso de seguimiento en el año t. Los programas e iniciativas sociales a los que se le hará seguimiento en el año t son aquellos informados por los Ministeri</w:t>
            </w:r>
            <w:r w:rsidR="00E3427D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os</w:t>
            </w:r>
            <w:r w:rsidR="00675758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 xml:space="preserve"> </w:t>
            </w:r>
            <w:r w:rsidR="00D16BC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 xml:space="preserve"> </w:t>
            </w:r>
            <w:r w:rsidRPr="000D191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 xml:space="preserve"> o Servicios que tuvieron ejecución en t-1 y el seguimiento es respecto de la información del programa o iniciativa social al cierre de su ejecución en diciembre de t-1. El número total de Programas e Iniciativas Sociales que cumplan con los criterios para ingresar al proceso de seguimiento en el año t, será informado al Director de Presupuestos mediante oficio a más tardar el 30 de abril del año t.</w:t>
            </w:r>
            <w:r w:rsidRPr="000D1916">
              <w:rPr>
                <w:rStyle w:val="scxw14589775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D19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D1916">
              <w:rPr>
                <w:rStyle w:val="scxw14589775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D1916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D191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b) La planificación anual de las publicaciones de Informes de Seguimiento, a realizar por la División de Políticas Sociales, será propuesta a la autoridad a más tardar el 30 de abril del año t, no obstante, se puedan incluir modificaciones a la programación con posterioridad.</w:t>
            </w:r>
          </w:p>
        </w:tc>
      </w:tr>
      <w:tr w:rsidR="0000018F" w:rsidRPr="00007E1F" w14:paraId="7FA098A0" w14:textId="77777777" w:rsidTr="000D1916">
        <w:trPr>
          <w:cantSplit/>
          <w:trHeight w:val="439"/>
          <w:jc w:val="center"/>
        </w:trPr>
        <w:tc>
          <w:tcPr>
            <w:tcW w:w="566" w:type="dxa"/>
            <w:shd w:val="clear" w:color="000000" w:fill="FFFFFF"/>
            <w:vAlign w:val="center"/>
          </w:tcPr>
          <w:p w14:paraId="4455E83E" w14:textId="2CE7BE3D" w:rsidR="0000018F" w:rsidRDefault="0000018F" w:rsidP="0000018F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2EBB6253" w14:textId="41FA67BC" w:rsidR="0000018F" w:rsidRPr="003F4098" w:rsidRDefault="0000018F" w:rsidP="0000018F">
            <w:pPr>
              <w:rPr>
                <w:rFonts w:ascii="Arial" w:eastAsia="Arial" w:hAnsi="Arial"/>
                <w:color w:val="000000"/>
                <w:szCs w:val="24"/>
              </w:rPr>
            </w:pPr>
            <w:r w:rsidRPr="003F4098">
              <w:rPr>
                <w:rFonts w:ascii="Arial" w:eastAsia="Arial" w:hAnsi="Arial"/>
                <w:color w:val="000000"/>
                <w:szCs w:val="24"/>
              </w:rPr>
              <w:t>Tiempo promedio de trámites finalizados</w:t>
            </w:r>
          </w:p>
        </w:tc>
        <w:tc>
          <w:tcPr>
            <w:tcW w:w="2276" w:type="dxa"/>
            <w:shd w:val="clear" w:color="000000" w:fill="FFFFFF"/>
            <w:vAlign w:val="center"/>
          </w:tcPr>
          <w:p w14:paraId="65B7CEC9" w14:textId="3E6A5E08" w:rsidR="0000018F" w:rsidRPr="003F4098" w:rsidRDefault="0000018F" w:rsidP="0000018F">
            <w:pPr>
              <w:rPr>
                <w:rFonts w:ascii="Arial" w:eastAsia="Arial" w:hAnsi="Arial"/>
                <w:color w:val="000000"/>
                <w:szCs w:val="24"/>
              </w:rPr>
            </w:pPr>
            <w:r w:rsidRPr="003F4098">
              <w:rPr>
                <w:rFonts w:ascii="Arial" w:eastAsia="Arial" w:hAnsi="Arial"/>
                <w:color w:val="000000"/>
                <w:szCs w:val="24"/>
              </w:rPr>
              <w:t>Sumatoria de días de trámites solicitados por los usuarios, finalizados al año t/</w:t>
            </w:r>
            <w:proofErr w:type="spellStart"/>
            <w:r w:rsidRPr="003F4098">
              <w:rPr>
                <w:rFonts w:ascii="Arial" w:eastAsia="Arial" w:hAnsi="Arial"/>
                <w:color w:val="000000"/>
                <w:szCs w:val="24"/>
              </w:rPr>
              <w:t>Nº</w:t>
            </w:r>
            <w:proofErr w:type="spellEnd"/>
            <w:r w:rsidRPr="003F4098">
              <w:rPr>
                <w:rFonts w:ascii="Arial" w:eastAsia="Arial" w:hAnsi="Arial"/>
                <w:color w:val="000000"/>
                <w:szCs w:val="24"/>
              </w:rPr>
              <w:t xml:space="preserve"> Total de trámites solicitados </w:t>
            </w:r>
            <w:proofErr w:type="gramStart"/>
            <w:r w:rsidRPr="003F4098">
              <w:rPr>
                <w:rFonts w:ascii="Arial" w:eastAsia="Arial" w:hAnsi="Arial"/>
                <w:color w:val="000000"/>
                <w:szCs w:val="24"/>
              </w:rPr>
              <w:t>por  los</w:t>
            </w:r>
            <w:proofErr w:type="gramEnd"/>
            <w:r w:rsidRPr="003F4098">
              <w:rPr>
                <w:rFonts w:ascii="Arial" w:eastAsia="Arial" w:hAnsi="Arial"/>
                <w:color w:val="000000"/>
                <w:szCs w:val="24"/>
              </w:rPr>
              <w:t xml:space="preserve"> usuarios, finalizados  en el año t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5784DD8B" w14:textId="01A18152" w:rsidR="0000018F" w:rsidRPr="003F4098" w:rsidRDefault="0000018F" w:rsidP="0000018F">
            <w:pPr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N/A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340640" w14:textId="51A81D47" w:rsidR="0000018F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Mide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29E0762E" w14:textId="11A61E5E" w:rsidR="0000018F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días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7DFBA1CA" w14:textId="29CCFB00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1. Trámite: corresponde a toda acción necesaria para que una persona natural y/o jurídica acceda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a un producto (bien y/o servicio) entregado por un órgano de la Administración del Estado,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generando un procedimiento y que finaliza con la entrega de una respuesta para el solicitante.  </w:t>
            </w:r>
          </w:p>
          <w:p w14:paraId="5A8739FE" w14:textId="5BCBB66A" w:rsidR="003B0717" w:rsidRPr="003B0717" w:rsidRDefault="003B0717" w:rsidP="003B0717">
            <w:pPr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2. El indicador mide el proceso de provisión de un producto (bien y/o servicio) entregado por un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órgano de la Administración del Estado, desde </w:t>
            </w:r>
            <w:proofErr w:type="gramStart"/>
            <w:r w:rsidRPr="003B0717">
              <w:rPr>
                <w:rFonts w:ascii="Arial" w:hAnsi="Arial" w:cs="Arial"/>
                <w:sz w:val="18"/>
                <w:szCs w:val="16"/>
              </w:rPr>
              <w:t>la  solicitud</w:t>
            </w:r>
            <w:proofErr w:type="gramEnd"/>
            <w:r w:rsidRPr="003B0717">
              <w:rPr>
                <w:rFonts w:ascii="Arial" w:hAnsi="Arial" w:cs="Arial"/>
                <w:sz w:val="18"/>
                <w:szCs w:val="16"/>
              </w:rPr>
              <w:t xml:space="preserve"> realizada por el usuario hasta que lo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recibe y  cuyo proceso puede estar compuesto por uno o más trámites.</w:t>
            </w:r>
          </w:p>
          <w:p w14:paraId="17CDDCAD" w14:textId="6A1516F4" w:rsidR="003B0717" w:rsidRPr="003B0717" w:rsidRDefault="003B0717" w:rsidP="003B0717">
            <w:pPr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3. Trámites solicitado por el usuario finalizados en el año t: corresponden a aquellos en que el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usuario ha recibido el bien o servicio solicitado o, ha recibido una respuesta que rechaza su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solicitud.</w:t>
            </w:r>
          </w:p>
          <w:p w14:paraId="055F0D46" w14:textId="191F16E6" w:rsidR="003B0717" w:rsidRPr="003B0717" w:rsidRDefault="003B0717" w:rsidP="003B0717">
            <w:pPr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4. El número de días contabilizados para los trámites finalizados, corresponden a días corridos. Se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considera que el día 1 del trámite corresponde al día siguiente a la solicitud de éste.</w:t>
            </w:r>
          </w:p>
          <w:p w14:paraId="7E4145F1" w14:textId="58180CAE" w:rsidR="003B0717" w:rsidRPr="003B0717" w:rsidRDefault="003B0717" w:rsidP="003B0717">
            <w:pPr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5. El producto (bien y/o servicio) elegido deberá corresponder a aquel que tiene mayor frecuencia,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mayor demanda de usuarios, asociado a producto estratégico institucional, y/o prioridades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presidenciales, excluyendo productos de entrega inmediata o en el </w:t>
            </w:r>
            <w:r w:rsidR="00CB4964" w:rsidRPr="003B0717">
              <w:rPr>
                <w:rFonts w:ascii="Arial" w:hAnsi="Arial" w:cs="Arial"/>
                <w:sz w:val="18"/>
                <w:szCs w:val="16"/>
              </w:rPr>
              <w:t>mismo día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 de su recepción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y, contar con la opinión técnica de la Red de Expertos.</w:t>
            </w:r>
          </w:p>
          <w:p w14:paraId="23228DA4" w14:textId="73249274" w:rsidR="0000018F" w:rsidRPr="003B0717" w:rsidRDefault="003B0717" w:rsidP="00CB4964">
            <w:pPr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6. En nota del indicador, el Servicio deberá precisar el nombre del producto (bien y/o servicio),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el/</w:t>
            </w:r>
            <w:proofErr w:type="gramStart"/>
            <w:r w:rsidR="00CB4964" w:rsidRPr="003B0717">
              <w:rPr>
                <w:rFonts w:ascii="Arial" w:hAnsi="Arial" w:cs="Arial"/>
                <w:sz w:val="18"/>
                <w:szCs w:val="16"/>
              </w:rPr>
              <w:t>los trámite</w:t>
            </w:r>
            <w:proofErr w:type="gramEnd"/>
            <w:r w:rsidRPr="003B0717">
              <w:rPr>
                <w:rFonts w:ascii="Arial" w:hAnsi="Arial" w:cs="Arial"/>
                <w:sz w:val="18"/>
                <w:szCs w:val="16"/>
              </w:rPr>
              <w:t>/s de los que forman parte del Registro Nacional de Trámites del Estado (RNT), ID</w:t>
            </w:r>
            <w:r w:rsidR="00CB49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del trámite en el RNT, hito de inicio (solicitud) e hito de finalización (recepción).</w:t>
            </w:r>
          </w:p>
        </w:tc>
      </w:tr>
      <w:tr w:rsidR="0000018F" w:rsidRPr="00007E1F" w14:paraId="1F72DF6B" w14:textId="77777777" w:rsidTr="00CB4964">
        <w:trPr>
          <w:cantSplit/>
          <w:trHeight w:val="439"/>
          <w:jc w:val="center"/>
        </w:trPr>
        <w:tc>
          <w:tcPr>
            <w:tcW w:w="566" w:type="dxa"/>
            <w:shd w:val="clear" w:color="000000" w:fill="FFFFFF"/>
            <w:vAlign w:val="center"/>
          </w:tcPr>
          <w:p w14:paraId="3200232D" w14:textId="14F1D4EE" w:rsidR="0000018F" w:rsidRDefault="0000018F" w:rsidP="0000018F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3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4A523A0E" w14:textId="79E76F8C" w:rsidR="0000018F" w:rsidRPr="0000018F" w:rsidRDefault="0000018F" w:rsidP="00CB4964">
            <w:pPr>
              <w:jc w:val="both"/>
              <w:rPr>
                <w:rFonts w:ascii="Arial" w:eastAsia="Arial" w:hAnsi="Arial"/>
                <w:color w:val="000000"/>
                <w:lang w:val="es-CL"/>
              </w:rPr>
            </w:pPr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Porcentaje de solicitudes de acceso a la información pública respondidas en un plazo menor o igual a 15 días hábiles en el año t.</w:t>
            </w:r>
          </w:p>
        </w:tc>
        <w:tc>
          <w:tcPr>
            <w:tcW w:w="2276" w:type="dxa"/>
            <w:shd w:val="clear" w:color="000000" w:fill="FFFFFF"/>
            <w:vAlign w:val="center"/>
          </w:tcPr>
          <w:p w14:paraId="4F8A1A94" w14:textId="3EAF38EF" w:rsidR="0000018F" w:rsidRPr="0000018F" w:rsidRDefault="0000018F" w:rsidP="00CB4964">
            <w:pPr>
              <w:jc w:val="both"/>
              <w:rPr>
                <w:rFonts w:ascii="Arial" w:eastAsia="Arial" w:hAnsi="Arial"/>
                <w:color w:val="000000"/>
              </w:rPr>
            </w:pPr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(</w:t>
            </w:r>
            <w:proofErr w:type="spellStart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Nº</w:t>
            </w:r>
            <w:proofErr w:type="spellEnd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de solicitudes de acceso a la información pública respondidas en año t en un plazo menor o igual a 15 días hábiles en año t/</w:t>
            </w:r>
            <w:proofErr w:type="spellStart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Nº</w:t>
            </w:r>
            <w:proofErr w:type="spellEnd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de solicitudes de acceso a la información pública respondidas en año </w:t>
            </w:r>
            <w:proofErr w:type="gramStart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t)*</w:t>
            </w:r>
            <w:proofErr w:type="gramEnd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100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002A8466" w14:textId="5F20C9C8" w:rsidR="0000018F" w:rsidRPr="003F4098" w:rsidRDefault="0000018F" w:rsidP="0000018F">
            <w:pPr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220 / 550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25EE5B" w14:textId="6B618148" w:rsidR="0000018F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40 %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1C3606D5" w14:textId="16A987D1" w:rsidR="0000018F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73E3F75A" w14:textId="67FC529F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1. Las solicitudes de acceso a información pública respondidas corresponden a aquellas</w:t>
            </w:r>
            <w:r w:rsidR="00CB49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finalizadas entre el 1 de enero y el 31 de diciembre del año t (sin perjuicio de que hayan sido</w:t>
            </w:r>
            <w:r w:rsidR="00CB49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ingresadas el año anterior).</w:t>
            </w:r>
          </w:p>
          <w:p w14:paraId="2546D3D6" w14:textId="3874FFE2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2. Las solicitudes de acceso a información pública respondidas corresponden a todas las</w:t>
            </w:r>
            <w:r w:rsidR="00CB49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categorías de finalizadas, incluida la categoría “Derivadas e Información Permanentemente</w:t>
            </w:r>
            <w:r w:rsidR="00CB49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disponible en la web”, inclusive aquellas que por su naturaleza fueron respondidas en plazo</w:t>
            </w:r>
          </w:p>
          <w:p w14:paraId="19685F1B" w14:textId="101BA5A1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 xml:space="preserve">prorrogado </w:t>
            </w:r>
            <w:proofErr w:type="gramStart"/>
            <w:r w:rsidRPr="003B0717">
              <w:rPr>
                <w:rFonts w:ascii="Arial" w:hAnsi="Arial" w:cs="Arial"/>
                <w:sz w:val="18"/>
                <w:szCs w:val="18"/>
              </w:rPr>
              <w:t>de acuerdo a</w:t>
            </w:r>
            <w:proofErr w:type="gramEnd"/>
            <w:r w:rsidRPr="003B0717">
              <w:rPr>
                <w:rFonts w:ascii="Arial" w:hAnsi="Arial" w:cs="Arial"/>
                <w:sz w:val="18"/>
                <w:szCs w:val="18"/>
              </w:rPr>
              <w:t xml:space="preserve"> lo establecido en la Ley </w:t>
            </w:r>
            <w:proofErr w:type="spellStart"/>
            <w:r w:rsidRPr="003B0717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3B0717">
              <w:rPr>
                <w:rFonts w:ascii="Arial" w:hAnsi="Arial" w:cs="Arial"/>
                <w:sz w:val="18"/>
                <w:szCs w:val="18"/>
              </w:rPr>
              <w:t xml:space="preserve"> 20.285. Excluye a las solicitudes que no</w:t>
            </w:r>
            <w:r w:rsidR="00CB49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cumplen con los requisitos de admisibilidad establecidos en la Ley de Transparencia, es decir,</w:t>
            </w:r>
            <w:r w:rsidR="00CB49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Finalizada: No corresponde a solicitud de transparencia, solicitudes anuladas o de prueba.   </w:t>
            </w:r>
          </w:p>
          <w:p w14:paraId="65B55B66" w14:textId="73D53FF8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3. Las solicitudes categorizadas como “No son solicitudes de acceso a la información Pública</w:t>
            </w:r>
            <w:r w:rsidR="00CB49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(NO SAIP), no se consideran en el indicador por no corresponder a solicitudes de acceso a la</w:t>
            </w:r>
            <w:r w:rsidR="00655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información pública, tales como “denuncia</w:t>
            </w:r>
            <w:r w:rsidR="00655563">
              <w:rPr>
                <w:rFonts w:ascii="Arial" w:hAnsi="Arial" w:cs="Arial"/>
                <w:sz w:val="18"/>
                <w:szCs w:val="18"/>
              </w:rPr>
              <w:t>s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 referidas </w:t>
            </w:r>
            <w:r w:rsidR="00655563" w:rsidRPr="003B0717">
              <w:rPr>
                <w:rFonts w:ascii="Arial" w:hAnsi="Arial" w:cs="Arial"/>
                <w:sz w:val="18"/>
                <w:szCs w:val="18"/>
              </w:rPr>
              <w:t>a un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 hecho que cause perjuicio",</w:t>
            </w:r>
          </w:p>
          <w:p w14:paraId="18A33CA8" w14:textId="4E17F577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"pronunciamiento sobre una situación en particular", "reconsideración de una medida</w:t>
            </w:r>
            <w:r w:rsidR="00655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adoptada", "solicitud de audiencia con la autoridad del Servicio", "reclamos presentados en</w:t>
            </w:r>
            <w:r w:rsidR="00655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una institución fiscalizadora “, pudiendo ser consideradas como ingresadas, pero no como</w:t>
            </w:r>
          </w:p>
          <w:p w14:paraId="495AAD55" w14:textId="4786F97B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 xml:space="preserve">"finalizadas”, ni como "finalizada que cumple con el indicador".  </w:t>
            </w:r>
          </w:p>
          <w:p w14:paraId="5B6685BD" w14:textId="51F5F0A5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 xml:space="preserve">4. Para efectos de contabilizar los plazos se aplicará el artículo 25 de la Ley </w:t>
            </w:r>
            <w:proofErr w:type="spellStart"/>
            <w:r w:rsidRPr="003B0717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3B0717">
              <w:rPr>
                <w:rFonts w:ascii="Arial" w:hAnsi="Arial" w:cs="Arial"/>
                <w:sz w:val="18"/>
                <w:szCs w:val="18"/>
              </w:rPr>
              <w:t xml:space="preserve"> 19.880, sobre</w:t>
            </w:r>
            <w:r w:rsidR="00655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Procedimiento Administrativo.   </w:t>
            </w:r>
          </w:p>
          <w:p w14:paraId="3BBE0154" w14:textId="37D20CF1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5. Las instituciones deberán utilizar el “Portal Transparencia Chile”, donde se registrarán</w:t>
            </w:r>
            <w:r w:rsidR="00655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automáticamente las operaciones, generando el reporte en la sección habilitada para PMG</w:t>
            </w:r>
            <w:r w:rsidR="00655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 xml:space="preserve">Transparencia. De esta forma, el medio de verificación será el archivo exportable.  </w:t>
            </w:r>
          </w:p>
          <w:p w14:paraId="5FB0DF49" w14:textId="3BD1A434" w:rsidR="0000018F" w:rsidRPr="003B0717" w:rsidRDefault="003B0717" w:rsidP="00655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17">
              <w:rPr>
                <w:rFonts w:ascii="Arial" w:hAnsi="Arial" w:cs="Arial"/>
                <w:sz w:val="18"/>
                <w:szCs w:val="18"/>
              </w:rPr>
              <w:t>6. Aquellos Servicios que utilicen sistema propio pero que se encuentran interoperando con el</w:t>
            </w:r>
            <w:r w:rsidR="00655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sistema "Portal Transparencia Chile" utilizarán como medio de verificación planilla provista</w:t>
            </w:r>
            <w:r w:rsidR="00655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8"/>
              </w:rPr>
              <w:t>por la Red de Expertos.</w:t>
            </w:r>
          </w:p>
        </w:tc>
      </w:tr>
      <w:tr w:rsidR="0000018F" w:rsidRPr="00007E1F" w14:paraId="16D57F87" w14:textId="77777777" w:rsidTr="000D1916">
        <w:trPr>
          <w:cantSplit/>
          <w:trHeight w:val="439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45EE82D6" w14:textId="31757BE2" w:rsidR="0000018F" w:rsidRDefault="0000018F" w:rsidP="0000018F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4</w:t>
            </w:r>
          </w:p>
          <w:p w14:paraId="31D78582" w14:textId="474890F9" w:rsidR="0000018F" w:rsidRPr="007D007C" w:rsidRDefault="0000018F" w:rsidP="0000018F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831" w:type="dxa"/>
            <w:shd w:val="clear" w:color="000000" w:fill="FFFFFF"/>
            <w:vAlign w:val="center"/>
          </w:tcPr>
          <w:p w14:paraId="3429A53E" w14:textId="5F647956" w:rsidR="0000018F" w:rsidRPr="003F4098" w:rsidRDefault="0000018F" w:rsidP="0000018F">
            <w:pPr>
              <w:rPr>
                <w:rFonts w:ascii="Arial" w:hAnsi="Arial" w:cs="Arial"/>
                <w:szCs w:val="24"/>
              </w:rPr>
            </w:pPr>
            <w:r w:rsidRPr="003F4098">
              <w:rPr>
                <w:rFonts w:ascii="Arial" w:eastAsia="Arial" w:hAnsi="Arial"/>
                <w:color w:val="000000"/>
                <w:szCs w:val="24"/>
              </w:rPr>
              <w:t>Porcentaje de reclamos respondidos respecto de los reclamos recibidos en año t</w:t>
            </w:r>
          </w:p>
        </w:tc>
        <w:tc>
          <w:tcPr>
            <w:tcW w:w="2276" w:type="dxa"/>
            <w:shd w:val="clear" w:color="000000" w:fill="FFFFFF"/>
            <w:vAlign w:val="center"/>
          </w:tcPr>
          <w:p w14:paraId="3CB50D45" w14:textId="23D45195" w:rsidR="0000018F" w:rsidRPr="003F4098" w:rsidRDefault="0000018F" w:rsidP="0000018F">
            <w:pPr>
              <w:rPr>
                <w:rFonts w:ascii="Arial" w:hAnsi="Arial" w:cs="Arial"/>
                <w:szCs w:val="24"/>
              </w:rPr>
            </w:pPr>
            <w:r w:rsidRPr="003F4098">
              <w:rPr>
                <w:rFonts w:ascii="Arial" w:eastAsia="Arial" w:hAnsi="Arial"/>
                <w:color w:val="000000"/>
                <w:szCs w:val="24"/>
              </w:rPr>
              <w:t xml:space="preserve">(Número de reclamos respondidos en año t/Total de reclamos recibidos en año </w:t>
            </w:r>
            <w:proofErr w:type="gramStart"/>
            <w:r w:rsidRPr="003F4098">
              <w:rPr>
                <w:rFonts w:ascii="Arial" w:eastAsia="Arial" w:hAnsi="Arial"/>
                <w:color w:val="000000"/>
                <w:szCs w:val="24"/>
              </w:rPr>
              <w:t>t)*</w:t>
            </w:r>
            <w:proofErr w:type="gramEnd"/>
            <w:r w:rsidRPr="003F4098">
              <w:rPr>
                <w:rFonts w:ascii="Arial" w:eastAsia="Arial" w:hAnsi="Arial"/>
                <w:color w:val="000000"/>
                <w:szCs w:val="24"/>
              </w:rPr>
              <w:t>100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08CAF06E" w14:textId="27C4E14D" w:rsidR="0000018F" w:rsidRPr="00592C80" w:rsidRDefault="0000018F" w:rsidP="0000018F">
            <w:pPr>
              <w:jc w:val="center"/>
              <w:rPr>
                <w:rFonts w:ascii="Arial" w:hAnsi="Arial" w:cs="Arial"/>
                <w:bCs/>
                <w:szCs w:val="16"/>
              </w:rPr>
            </w:pPr>
            <w:r w:rsidRPr="003F4098">
              <w:rPr>
                <w:rFonts w:ascii="Arial" w:hAnsi="Arial" w:cs="Arial"/>
                <w:bCs/>
                <w:szCs w:val="16"/>
              </w:rPr>
              <w:t>18 /20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764FB3" w14:textId="1131DCDD" w:rsidR="0000018F" w:rsidRPr="00592C80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90 %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11DC7885" w14:textId="1A6B4B6F" w:rsidR="0000018F" w:rsidRPr="007D007C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283C8AD3" w14:textId="0F5954C9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1. Se consideran reclamos a aquellas disconformidades que la ciudadanía manifiesta respecto de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las actuaciones, atenciones y productos (bienes y/o servicios) que un órgano público entrega a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través de sus canales de atención.  </w:t>
            </w:r>
          </w:p>
          <w:p w14:paraId="520356A5" w14:textId="0231CA1B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2. Se entiende por reclamos respondidos todos aquellos en los cuales se emite una respuesta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resolutiva por parte del Servicio, una vez analizada la información presentada.  </w:t>
            </w:r>
          </w:p>
          <w:p w14:paraId="12550519" w14:textId="1B765994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3. Se entiende por respuesta resolutiva la que contiene decisiones definitivas que responden a lo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solicitado por el usuario y dan cierre al caso.</w:t>
            </w:r>
          </w:p>
          <w:p w14:paraId="4490C119" w14:textId="7DAB78F5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 xml:space="preserve">4. Total de reclamos recibidos al año t, corresponde a los reclamos </w:t>
            </w:r>
            <w:proofErr w:type="spellStart"/>
            <w:r w:rsidRPr="003B0717">
              <w:rPr>
                <w:rFonts w:ascii="Arial" w:hAnsi="Arial" w:cs="Arial"/>
                <w:sz w:val="18"/>
                <w:szCs w:val="16"/>
              </w:rPr>
              <w:t>recepcionados</w:t>
            </w:r>
            <w:proofErr w:type="spellEnd"/>
            <w:r w:rsidRPr="003B0717">
              <w:rPr>
                <w:rFonts w:ascii="Arial" w:hAnsi="Arial" w:cs="Arial"/>
                <w:sz w:val="18"/>
                <w:szCs w:val="16"/>
              </w:rPr>
              <w:t xml:space="preserve"> por el Servicio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en el año t, incluyendo los reclamos recibidos en años anteriores y no respondidos.</w:t>
            </w:r>
          </w:p>
          <w:p w14:paraId="0DB6DA8F" w14:textId="75E7474E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5. El periodo de medición para los reclamos recibidos considera años anteriores y hasta el 31 de diciembre del año t. El período de medición para los reclamos respondidos considera del 1 de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enero al 31 </w:t>
            </w:r>
            <w:r w:rsidR="00655563" w:rsidRPr="003B0717">
              <w:rPr>
                <w:rFonts w:ascii="Arial" w:hAnsi="Arial" w:cs="Arial"/>
                <w:sz w:val="18"/>
                <w:szCs w:val="16"/>
              </w:rPr>
              <w:t>de diciembre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 del año t.</w:t>
            </w:r>
          </w:p>
          <w:p w14:paraId="0142FEA9" w14:textId="7500523E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 xml:space="preserve">6. Se excluyen los reclamos   relacionados con la Ley </w:t>
            </w:r>
            <w:proofErr w:type="spellStart"/>
            <w:r w:rsidRPr="003B0717">
              <w:rPr>
                <w:rFonts w:ascii="Arial" w:hAnsi="Arial" w:cs="Arial"/>
                <w:sz w:val="18"/>
                <w:szCs w:val="16"/>
              </w:rPr>
              <w:t>N°</w:t>
            </w:r>
            <w:proofErr w:type="spellEnd"/>
            <w:r w:rsidRPr="003B0717">
              <w:rPr>
                <w:rFonts w:ascii="Arial" w:hAnsi="Arial" w:cs="Arial"/>
                <w:sz w:val="18"/>
                <w:szCs w:val="16"/>
              </w:rPr>
              <w:t xml:space="preserve"> 20.285 sobre Acceso a la Información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Pública, y con la Ley 19.886 de Bases sobre Contratos Administrativos sobre Contratos de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Suministro y prestación de servicios, y aquellos reclamos derivados a otros servicios por tratarse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de materias que no son de competencia de la institución.</w:t>
            </w:r>
          </w:p>
          <w:p w14:paraId="5DF6C87B" w14:textId="712FF86E" w:rsidR="003B0717" w:rsidRPr="003B0717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7. El servicio deberá precisar el ID del reclamo, actuaciones, atenciones y producto (bien y/o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 xml:space="preserve">servicio) que aplica, fecha de ingreso del reclamo, fecha de respuesta, </w:t>
            </w:r>
            <w:proofErr w:type="spellStart"/>
            <w:r w:rsidRPr="003B0717">
              <w:rPr>
                <w:rFonts w:ascii="Arial" w:hAnsi="Arial" w:cs="Arial"/>
                <w:sz w:val="18"/>
                <w:szCs w:val="16"/>
              </w:rPr>
              <w:t>N°</w:t>
            </w:r>
            <w:proofErr w:type="spellEnd"/>
            <w:r w:rsidRPr="003B0717">
              <w:rPr>
                <w:rFonts w:ascii="Arial" w:hAnsi="Arial" w:cs="Arial"/>
                <w:sz w:val="18"/>
                <w:szCs w:val="16"/>
              </w:rPr>
              <w:t xml:space="preserve"> de oficio o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B0717">
              <w:rPr>
                <w:rFonts w:ascii="Arial" w:hAnsi="Arial" w:cs="Arial"/>
                <w:sz w:val="18"/>
                <w:szCs w:val="16"/>
              </w:rPr>
              <w:t>identificación de la respuesta y estado del reclamo, únicamente con los siguientes estados:</w:t>
            </w:r>
          </w:p>
          <w:p w14:paraId="1E9009D2" w14:textId="585A9489" w:rsidR="0000018F" w:rsidRPr="003B0717" w:rsidRDefault="003B0717" w:rsidP="0000018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B0717">
              <w:rPr>
                <w:rFonts w:ascii="Arial" w:hAnsi="Arial" w:cs="Arial"/>
                <w:sz w:val="18"/>
                <w:szCs w:val="16"/>
              </w:rPr>
              <w:t>ingresado, en análisis, respondido.</w:t>
            </w:r>
          </w:p>
        </w:tc>
      </w:tr>
      <w:tr w:rsidR="0000018F" w:rsidRPr="00007E1F" w14:paraId="5E85AD97" w14:textId="77777777" w:rsidTr="000D1916">
        <w:trPr>
          <w:cantSplit/>
          <w:trHeight w:val="1115"/>
          <w:jc w:val="center"/>
        </w:trPr>
        <w:tc>
          <w:tcPr>
            <w:tcW w:w="566" w:type="dxa"/>
            <w:shd w:val="clear" w:color="000000" w:fill="FFFFFF"/>
            <w:vAlign w:val="center"/>
          </w:tcPr>
          <w:p w14:paraId="236BBD87" w14:textId="3CC2725E" w:rsidR="0000018F" w:rsidRDefault="0000018F" w:rsidP="0000018F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5</w:t>
            </w:r>
          </w:p>
        </w:tc>
        <w:tc>
          <w:tcPr>
            <w:tcW w:w="1831" w:type="dxa"/>
            <w:shd w:val="clear" w:color="000000" w:fill="FFFFFF"/>
          </w:tcPr>
          <w:p w14:paraId="7752AFF1" w14:textId="7E6D7416" w:rsidR="0000018F" w:rsidRPr="003F4098" w:rsidRDefault="0000018F" w:rsidP="0000018F">
            <w:pPr>
              <w:jc w:val="both"/>
              <w:rPr>
                <w:rFonts w:ascii="Arial" w:hAnsi="Arial" w:cs="Arial"/>
              </w:rPr>
            </w:pPr>
            <w:r w:rsidRPr="003F4098">
              <w:rPr>
                <w:rFonts w:ascii="Arial" w:eastAsia="Arial" w:hAnsi="Arial"/>
                <w:color w:val="000000"/>
              </w:rPr>
              <w:t>Porcentaje de trámites digitalizados con registro de transacciones al año t respecto del total de trámites identificados en el Registro Nacional de Trámites del año t-1</w:t>
            </w:r>
          </w:p>
        </w:tc>
        <w:tc>
          <w:tcPr>
            <w:tcW w:w="2276" w:type="dxa"/>
            <w:shd w:val="clear" w:color="000000" w:fill="FFFFFF"/>
          </w:tcPr>
          <w:p w14:paraId="3A34B0D4" w14:textId="480B70CB" w:rsidR="0000018F" w:rsidRPr="003F4098" w:rsidRDefault="0000018F" w:rsidP="0000018F">
            <w:pPr>
              <w:jc w:val="both"/>
              <w:rPr>
                <w:rFonts w:ascii="Arial" w:hAnsi="Arial" w:cs="Arial"/>
                <w:lang w:val="es-CL"/>
              </w:rPr>
            </w:pPr>
            <w:r w:rsidRPr="003F4098">
              <w:rPr>
                <w:rFonts w:ascii="Arial" w:eastAsia="Arial" w:hAnsi="Arial"/>
                <w:color w:val="000000"/>
              </w:rPr>
              <w:t>(</w:t>
            </w:r>
            <w:proofErr w:type="spellStart"/>
            <w:r w:rsidRPr="003F4098">
              <w:rPr>
                <w:rFonts w:ascii="Arial" w:eastAsia="Arial" w:hAnsi="Arial"/>
                <w:color w:val="000000"/>
              </w:rPr>
              <w:t>N°</w:t>
            </w:r>
            <w:proofErr w:type="spellEnd"/>
            <w:r w:rsidRPr="003F4098">
              <w:rPr>
                <w:rFonts w:ascii="Arial" w:eastAsia="Arial" w:hAnsi="Arial"/>
                <w:color w:val="000000"/>
              </w:rPr>
              <w:t xml:space="preserve"> de trámites digitalizados con registro de transacciones al año t/</w:t>
            </w:r>
            <w:proofErr w:type="spellStart"/>
            <w:r w:rsidRPr="003F4098">
              <w:rPr>
                <w:rFonts w:ascii="Arial" w:eastAsia="Arial" w:hAnsi="Arial"/>
                <w:color w:val="000000"/>
              </w:rPr>
              <w:t>N°</w:t>
            </w:r>
            <w:proofErr w:type="spellEnd"/>
            <w:r w:rsidRPr="003F4098">
              <w:rPr>
                <w:rFonts w:ascii="Arial" w:eastAsia="Arial" w:hAnsi="Arial"/>
                <w:color w:val="000000"/>
              </w:rPr>
              <w:t xml:space="preserve"> total de trámites identificados en el Registro Nacional de Trámites del año t-</w:t>
            </w:r>
            <w:proofErr w:type="gramStart"/>
            <w:r w:rsidRPr="003F4098">
              <w:rPr>
                <w:rFonts w:ascii="Arial" w:eastAsia="Arial" w:hAnsi="Arial"/>
                <w:color w:val="000000"/>
              </w:rPr>
              <w:t>1)*</w:t>
            </w:r>
            <w:proofErr w:type="gramEnd"/>
            <w:r w:rsidRPr="003F4098">
              <w:rPr>
                <w:rFonts w:ascii="Arial" w:eastAsia="Arial" w:hAnsi="Arial"/>
                <w:color w:val="000000"/>
              </w:rPr>
              <w:t>100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12708DA9" w14:textId="44B34853" w:rsidR="0000018F" w:rsidRDefault="00902A97" w:rsidP="0000018F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N/A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F73B4E" w14:textId="7D448523" w:rsidR="0000018F" w:rsidRDefault="00902A97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Mide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61AAC792" w14:textId="79F7E9C4" w:rsidR="0000018F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vAlign w:val="center"/>
          </w:tcPr>
          <w:p w14:paraId="202E0B42" w14:textId="590489CE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1. Trámite: corresponde a toda acción necesaria para que una persona natural y/o jurídica acceda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a un producto (bien y/o servicio) entregado por un órgano de la Administración del Estado,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 xml:space="preserve">generando </w:t>
            </w:r>
            <w:r w:rsidR="00655563" w:rsidRPr="007B1421">
              <w:rPr>
                <w:rFonts w:ascii="Arial" w:hAnsi="Arial" w:cs="Arial"/>
                <w:sz w:val="18"/>
                <w:szCs w:val="16"/>
              </w:rPr>
              <w:t>un procedimiento</w:t>
            </w:r>
            <w:r w:rsidRPr="007B1421">
              <w:rPr>
                <w:rFonts w:ascii="Arial" w:hAnsi="Arial" w:cs="Arial"/>
                <w:sz w:val="18"/>
                <w:szCs w:val="16"/>
              </w:rPr>
              <w:t xml:space="preserve"> que finaliza con la entrega </w:t>
            </w:r>
            <w:proofErr w:type="gramStart"/>
            <w:r w:rsidRPr="007B1421">
              <w:rPr>
                <w:rFonts w:ascii="Arial" w:hAnsi="Arial" w:cs="Arial"/>
                <w:sz w:val="18"/>
                <w:szCs w:val="16"/>
              </w:rPr>
              <w:t>de  una</w:t>
            </w:r>
            <w:proofErr w:type="gramEnd"/>
            <w:r w:rsidRPr="007B1421">
              <w:rPr>
                <w:rFonts w:ascii="Arial" w:hAnsi="Arial" w:cs="Arial"/>
                <w:sz w:val="18"/>
                <w:szCs w:val="16"/>
              </w:rPr>
              <w:t xml:space="preserve"> respuesta para el solicitante.</w:t>
            </w:r>
          </w:p>
          <w:p w14:paraId="47838976" w14:textId="3E47611F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2. Trámites digitalizados: Corresponde a los que se encuentren en los siguientes niveles de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digitalización:</w:t>
            </w:r>
          </w:p>
          <w:p w14:paraId="05F04A88" w14:textId="5DF74B93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a. Trámite Nivel 3d digitalizado: Aquel que puede ser realizado mayormente mediante el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canal digital, sin embargo, por su naturaleza o requisitos establecidos en la regulación en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sentido estricto (Ley o Decreto) requiere de una etapa presencial. Para estos efectos, el</w:t>
            </w:r>
          </w:p>
          <w:p w14:paraId="2C257AF9" w14:textId="3A92272C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Servicio deberá indicar las restricciones que impiden su completa digitalización,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interpretación jurídica fundada y firmada por el encargado de control jurídico institucional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 xml:space="preserve">o </w:t>
            </w:r>
            <w:proofErr w:type="gramStart"/>
            <w:r w:rsidRPr="007B1421">
              <w:rPr>
                <w:rFonts w:ascii="Arial" w:hAnsi="Arial" w:cs="Arial"/>
                <w:sz w:val="18"/>
                <w:szCs w:val="16"/>
              </w:rPr>
              <w:t>Jefe</w:t>
            </w:r>
            <w:proofErr w:type="gramEnd"/>
            <w:r w:rsidRPr="007B1421">
              <w:rPr>
                <w:rFonts w:ascii="Arial" w:hAnsi="Arial" w:cs="Arial"/>
                <w:sz w:val="18"/>
                <w:szCs w:val="16"/>
              </w:rPr>
              <w:t xml:space="preserve"> de Servicio.</w:t>
            </w:r>
          </w:p>
          <w:p w14:paraId="45718ACB" w14:textId="4FB0C648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b. Trámite digitalizado Nivel 4: Aquel que puede ser realizado completamente a través del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canal digital.</w:t>
            </w:r>
          </w:p>
          <w:p w14:paraId="13694F4D" w14:textId="1A90F88D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3. Transacciones: corresponde a la contabilización de los trámites finalizados, es decir, aquellos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que concluyeron con la entrega de una respuesta al solicitante, favorable o desfavorable al 31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 xml:space="preserve">de diciembre de 2020.   </w:t>
            </w:r>
          </w:p>
          <w:p w14:paraId="7A46FA15" w14:textId="694424A2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4. Canal de Atención: corresponde a los medios de contacto disponibles para realizar el trámite de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inicio a fin.  Se clasifican en: presencial, digital y telefónico.</w:t>
            </w:r>
          </w:p>
          <w:p w14:paraId="44F3EB31" w14:textId="4F5DAF19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5. Registro Nacional de Trámites: Instrumento oficial de registro de todos los trámites de la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 xml:space="preserve">Administración central del Estado Administrado y publicado por SEGPRES.  </w:t>
            </w:r>
          </w:p>
          <w:p w14:paraId="2E49C7B2" w14:textId="6ADBB9AE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6. El servicio deberá mantener actualizada su información en el Registro Nacional de Trámites la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que deberá contener al menos el listado de trámites, su caracterización e información de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transacciones al 30 de noviembre del año t.</w:t>
            </w:r>
          </w:p>
          <w:p w14:paraId="1E46ACC9" w14:textId="65B93030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7. En cada sitio web institucional deberá existir un acceso directo al listado de trámites declarados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en el Registro Nacional, y a la información publicada relativa a cada trámite.</w:t>
            </w:r>
          </w:p>
          <w:p w14:paraId="723DBBF2" w14:textId="6E350EB0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 xml:space="preserve">8. Los compromisos de digitalización a cumplir durante el año t, </w:t>
            </w:r>
            <w:r w:rsidR="00655563" w:rsidRPr="007B1421">
              <w:rPr>
                <w:rFonts w:ascii="Arial" w:hAnsi="Arial" w:cs="Arial"/>
                <w:sz w:val="18"/>
                <w:szCs w:val="16"/>
              </w:rPr>
              <w:t>deberán ser</w:t>
            </w:r>
            <w:r w:rsidRPr="007B1421">
              <w:rPr>
                <w:rFonts w:ascii="Arial" w:hAnsi="Arial" w:cs="Arial"/>
                <w:sz w:val="18"/>
                <w:szCs w:val="16"/>
              </w:rPr>
              <w:t xml:space="preserve"> consistentes con el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plan de digitalización institucional propuesto para alcanzar la meta presidencial del 80% de los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trámites digitales de cada institución al año 2021, y con    la opinión técnica de la Red de</w:t>
            </w:r>
          </w:p>
          <w:p w14:paraId="45603823" w14:textId="77777777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 xml:space="preserve">Expertos.  </w:t>
            </w:r>
          </w:p>
          <w:p w14:paraId="69EF4BD8" w14:textId="52962414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9. Para verificar que un trámite se encuentra digitalizado, la institución deberá informar en la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plataforma web dispuesta por SEGPRES, al 31 de diciembre de 2020:</w:t>
            </w:r>
          </w:p>
          <w:p w14:paraId="1C3D7C8E" w14:textId="77777777" w:rsidR="007B1421" w:rsidRPr="007B1421" w:rsidRDefault="007B1421" w:rsidP="007B142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>a. URL operativa del trámite, correspondiente a la URL del portal institucional.</w:t>
            </w:r>
          </w:p>
          <w:p w14:paraId="6FB71AA2" w14:textId="4F2F98D5" w:rsidR="0000018F" w:rsidRPr="007B1421" w:rsidRDefault="007B1421" w:rsidP="0065556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B1421">
              <w:rPr>
                <w:rFonts w:ascii="Arial" w:hAnsi="Arial" w:cs="Arial"/>
                <w:sz w:val="18"/>
                <w:szCs w:val="16"/>
              </w:rPr>
              <w:t xml:space="preserve">b. Reporte y acceso a </w:t>
            </w:r>
            <w:proofErr w:type="spellStart"/>
            <w:r w:rsidRPr="007B1421">
              <w:rPr>
                <w:rFonts w:ascii="Arial" w:hAnsi="Arial" w:cs="Arial"/>
                <w:sz w:val="18"/>
                <w:szCs w:val="16"/>
              </w:rPr>
              <w:t>google</w:t>
            </w:r>
            <w:proofErr w:type="spellEnd"/>
            <w:r w:rsidRPr="007B142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7B1421">
              <w:rPr>
                <w:rFonts w:ascii="Arial" w:hAnsi="Arial" w:cs="Arial"/>
                <w:sz w:val="18"/>
                <w:szCs w:val="16"/>
              </w:rPr>
              <w:t>analytics</w:t>
            </w:r>
            <w:proofErr w:type="spellEnd"/>
            <w:r w:rsidRPr="007B1421">
              <w:rPr>
                <w:rFonts w:ascii="Arial" w:hAnsi="Arial" w:cs="Arial"/>
                <w:sz w:val="18"/>
                <w:szCs w:val="16"/>
              </w:rPr>
              <w:t xml:space="preserve"> asociado a los trámites digitales institucionales. El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 xml:space="preserve">código de </w:t>
            </w:r>
            <w:proofErr w:type="spellStart"/>
            <w:r w:rsidRPr="007B1421">
              <w:rPr>
                <w:rFonts w:ascii="Arial" w:hAnsi="Arial" w:cs="Arial"/>
                <w:sz w:val="18"/>
                <w:szCs w:val="16"/>
              </w:rPr>
              <w:t>google</w:t>
            </w:r>
            <w:proofErr w:type="spellEnd"/>
            <w:r w:rsidRPr="007B142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7B1421">
              <w:rPr>
                <w:rFonts w:ascii="Arial" w:hAnsi="Arial" w:cs="Arial"/>
                <w:sz w:val="18"/>
                <w:szCs w:val="16"/>
              </w:rPr>
              <w:t>analytics</w:t>
            </w:r>
            <w:proofErr w:type="spellEnd"/>
            <w:r w:rsidRPr="007B1421">
              <w:rPr>
                <w:rFonts w:ascii="Arial" w:hAnsi="Arial" w:cs="Arial"/>
                <w:sz w:val="18"/>
                <w:szCs w:val="16"/>
              </w:rPr>
              <w:t xml:space="preserve"> es un fragmento de código JavaScript que recopila y envía datos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 xml:space="preserve">desde un sitio web a </w:t>
            </w:r>
            <w:proofErr w:type="spellStart"/>
            <w:r w:rsidRPr="007B1421">
              <w:rPr>
                <w:rFonts w:ascii="Arial" w:hAnsi="Arial" w:cs="Arial"/>
                <w:sz w:val="18"/>
                <w:szCs w:val="16"/>
              </w:rPr>
              <w:t>google</w:t>
            </w:r>
            <w:proofErr w:type="spellEnd"/>
            <w:r w:rsidRPr="007B142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7B1421">
              <w:rPr>
                <w:rFonts w:ascii="Arial" w:hAnsi="Arial" w:cs="Arial"/>
                <w:sz w:val="18"/>
                <w:szCs w:val="16"/>
              </w:rPr>
              <w:t>analytics</w:t>
            </w:r>
            <w:proofErr w:type="spellEnd"/>
            <w:r w:rsidRPr="007B1421">
              <w:rPr>
                <w:rFonts w:ascii="Arial" w:hAnsi="Arial" w:cs="Arial"/>
                <w:sz w:val="18"/>
                <w:szCs w:val="16"/>
              </w:rPr>
              <w:t xml:space="preserve">. El código de seguimiento de </w:t>
            </w:r>
            <w:proofErr w:type="spellStart"/>
            <w:r w:rsidRPr="007B1421">
              <w:rPr>
                <w:rFonts w:ascii="Arial" w:hAnsi="Arial" w:cs="Arial"/>
                <w:sz w:val="18"/>
                <w:szCs w:val="16"/>
              </w:rPr>
              <w:t>analytics</w:t>
            </w:r>
            <w:proofErr w:type="spellEnd"/>
            <w:r w:rsidRPr="007B1421">
              <w:rPr>
                <w:rFonts w:ascii="Arial" w:hAnsi="Arial" w:cs="Arial"/>
                <w:sz w:val="18"/>
                <w:szCs w:val="16"/>
              </w:rPr>
              <w:t xml:space="preserve"> puede</w:t>
            </w:r>
            <w:r w:rsidR="0065556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B1421">
              <w:rPr>
                <w:rFonts w:ascii="Arial" w:hAnsi="Arial" w:cs="Arial"/>
                <w:sz w:val="18"/>
                <w:szCs w:val="16"/>
              </w:rPr>
              <w:t>agregarse directamente al código HTML de cada página del sitio.</w:t>
            </w:r>
          </w:p>
        </w:tc>
      </w:tr>
    </w:tbl>
    <w:p w14:paraId="67BAC886" w14:textId="77777777" w:rsidR="008011BC" w:rsidRDefault="008011BC"/>
    <w:p w14:paraId="03ABAFB3" w14:textId="77777777" w:rsidR="003A26E4" w:rsidRDefault="003A26E4"/>
    <w:p w14:paraId="6C801288" w14:textId="77777777" w:rsidR="003A26E4" w:rsidRDefault="003A26E4"/>
    <w:sectPr w:rsidR="003A26E4" w:rsidSect="00CB7B82"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E9A1" w14:textId="77777777" w:rsidR="004A4115" w:rsidRDefault="004A4115" w:rsidP="00B36C93">
      <w:r>
        <w:separator/>
      </w:r>
    </w:p>
  </w:endnote>
  <w:endnote w:type="continuationSeparator" w:id="0">
    <w:p w14:paraId="62304A69" w14:textId="77777777" w:rsidR="004A4115" w:rsidRDefault="004A4115" w:rsidP="00B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62511820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50C55F" w14:textId="77777777" w:rsidR="00331D20" w:rsidRPr="00D53289" w:rsidRDefault="00331D20">
            <w:pPr>
              <w:pStyle w:val="Piedepgina"/>
              <w:jc w:val="center"/>
              <w:rPr>
                <w:sz w:val="22"/>
              </w:rPr>
            </w:pPr>
            <w:r w:rsidRPr="00D53289">
              <w:rPr>
                <w:sz w:val="22"/>
              </w:rPr>
              <w:t xml:space="preserve">Página </w:t>
            </w:r>
            <w:r w:rsidRPr="00D53289">
              <w:rPr>
                <w:b/>
                <w:bCs/>
                <w:sz w:val="28"/>
                <w:szCs w:val="24"/>
              </w:rPr>
              <w:fldChar w:fldCharType="begin"/>
            </w:r>
            <w:r w:rsidRPr="00D53289">
              <w:rPr>
                <w:b/>
                <w:bCs/>
                <w:sz w:val="22"/>
              </w:rPr>
              <w:instrText>PAGE</w:instrText>
            </w:r>
            <w:r w:rsidRPr="00D53289">
              <w:rPr>
                <w:b/>
                <w:bCs/>
                <w:sz w:val="28"/>
                <w:szCs w:val="24"/>
              </w:rPr>
              <w:fldChar w:fldCharType="separate"/>
            </w:r>
            <w:r w:rsidR="00044AEE">
              <w:rPr>
                <w:b/>
                <w:bCs/>
                <w:noProof/>
                <w:sz w:val="22"/>
              </w:rPr>
              <w:t>1</w:t>
            </w:r>
            <w:r w:rsidRPr="00D53289">
              <w:rPr>
                <w:b/>
                <w:bCs/>
                <w:sz w:val="28"/>
                <w:szCs w:val="24"/>
              </w:rPr>
              <w:fldChar w:fldCharType="end"/>
            </w:r>
            <w:r w:rsidRPr="00D53289">
              <w:rPr>
                <w:sz w:val="22"/>
              </w:rPr>
              <w:t xml:space="preserve"> de </w:t>
            </w:r>
            <w:r w:rsidRPr="00D53289">
              <w:rPr>
                <w:b/>
                <w:bCs/>
                <w:sz w:val="28"/>
                <w:szCs w:val="24"/>
              </w:rPr>
              <w:fldChar w:fldCharType="begin"/>
            </w:r>
            <w:r w:rsidRPr="00D53289">
              <w:rPr>
                <w:b/>
                <w:bCs/>
                <w:sz w:val="22"/>
              </w:rPr>
              <w:instrText>NUMPAGES</w:instrText>
            </w:r>
            <w:r w:rsidRPr="00D53289">
              <w:rPr>
                <w:b/>
                <w:bCs/>
                <w:sz w:val="28"/>
                <w:szCs w:val="24"/>
              </w:rPr>
              <w:fldChar w:fldCharType="separate"/>
            </w:r>
            <w:r w:rsidR="00044AEE">
              <w:rPr>
                <w:b/>
                <w:bCs/>
                <w:noProof/>
                <w:sz w:val="22"/>
              </w:rPr>
              <w:t>14</w:t>
            </w:r>
            <w:r w:rsidRPr="00D53289">
              <w:rPr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14:paraId="2BB0C3FA" w14:textId="77777777" w:rsidR="00331D20" w:rsidRDefault="00331D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A8E2" w14:textId="77777777" w:rsidR="004A4115" w:rsidRDefault="004A4115" w:rsidP="00B36C93">
      <w:r>
        <w:separator/>
      </w:r>
    </w:p>
  </w:footnote>
  <w:footnote w:type="continuationSeparator" w:id="0">
    <w:p w14:paraId="4936C51F" w14:textId="77777777" w:rsidR="004A4115" w:rsidRDefault="004A4115" w:rsidP="00B36C93">
      <w:r>
        <w:continuationSeparator/>
      </w:r>
    </w:p>
  </w:footnote>
  <w:footnote w:id="1">
    <w:p w14:paraId="34B2E7B5" w14:textId="77777777" w:rsidR="00331D20" w:rsidRPr="00F81C02" w:rsidRDefault="00331D20">
      <w:pPr>
        <w:pStyle w:val="Textonotapie"/>
        <w:rPr>
          <w:rFonts w:ascii="Arial" w:hAnsi="Arial" w:cs="Arial"/>
        </w:rPr>
      </w:pPr>
      <w:r w:rsidRPr="00F81C02">
        <w:rPr>
          <w:rStyle w:val="Refdenotaalpie"/>
          <w:rFonts w:ascii="Arial" w:hAnsi="Arial" w:cs="Arial"/>
        </w:rPr>
        <w:footnoteRef/>
      </w:r>
      <w:r w:rsidRPr="00F81C02">
        <w:rPr>
          <w:rFonts w:ascii="Arial" w:hAnsi="Arial" w:cs="Arial"/>
        </w:rPr>
        <w:t xml:space="preserve"> </w:t>
      </w:r>
      <w:r w:rsidRPr="00902720">
        <w:rPr>
          <w:rFonts w:ascii="Arial" w:hAnsi="Arial" w:cs="Arial"/>
          <w:sz w:val="16"/>
          <w:szCs w:val="16"/>
          <w:lang w:val="es-MX"/>
        </w:rPr>
        <w:t>Los datos (numerador / denominador) señalados en la columna</w:t>
      </w:r>
      <w:r>
        <w:rPr>
          <w:rFonts w:ascii="Arial" w:hAnsi="Arial" w:cs="Arial"/>
          <w:sz w:val="16"/>
          <w:szCs w:val="16"/>
          <w:lang w:val="es-MX"/>
        </w:rPr>
        <w:t xml:space="preserve"> respectiva</w:t>
      </w:r>
      <w:r w:rsidRPr="00902720">
        <w:rPr>
          <w:rFonts w:ascii="Arial" w:hAnsi="Arial" w:cs="Arial"/>
          <w:sz w:val="16"/>
          <w:szCs w:val="16"/>
          <w:lang w:val="es-MX"/>
        </w:rPr>
        <w:t>, son estimaciones referenciales calculadas en base a datos históricos que no necesariamente se repetirán en el futuro, por lo cual los numeradores y denominadores efectivos pueden terminar siendo mayores o menores.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902720">
        <w:rPr>
          <w:rFonts w:ascii="Arial" w:hAnsi="Arial" w:cs="Arial"/>
          <w:sz w:val="16"/>
          <w:szCs w:val="16"/>
          <w:lang w:val="es-MX"/>
        </w:rPr>
        <w:t>El cumplimie</w:t>
      </w:r>
      <w:r>
        <w:rPr>
          <w:rFonts w:ascii="Arial" w:hAnsi="Arial" w:cs="Arial"/>
          <w:sz w:val="16"/>
          <w:szCs w:val="16"/>
          <w:lang w:val="es-MX"/>
        </w:rPr>
        <w:t>nto de la meta se encuentra dado</w:t>
      </w:r>
      <w:r w:rsidRPr="00902720">
        <w:rPr>
          <w:rFonts w:ascii="Arial" w:hAnsi="Arial" w:cs="Arial"/>
          <w:sz w:val="16"/>
          <w:szCs w:val="16"/>
          <w:lang w:val="es-MX"/>
        </w:rPr>
        <w:t xml:space="preserve"> por la meta porcentual.</w:t>
      </w:r>
    </w:p>
  </w:footnote>
  <w:footnote w:id="2">
    <w:p w14:paraId="4E6FD455" w14:textId="3FD9DF37" w:rsidR="003A1B53" w:rsidRPr="00F54712" w:rsidRDefault="003A1B53" w:rsidP="00945966">
      <w:pPr>
        <w:pStyle w:val="Textonotapie"/>
        <w:rPr>
          <w:rFonts w:ascii="Arial" w:hAnsi="Arial" w:cs="Arial"/>
          <w:sz w:val="16"/>
          <w:szCs w:val="16"/>
          <w:lang w:val="es-CL"/>
        </w:rPr>
      </w:pPr>
      <w:r w:rsidRPr="00F54712">
        <w:rPr>
          <w:rStyle w:val="Refdenotaalpie"/>
          <w:rFonts w:ascii="Arial" w:hAnsi="Arial" w:cs="Arial"/>
          <w:sz w:val="16"/>
          <w:szCs w:val="16"/>
        </w:rPr>
        <w:footnoteRef/>
      </w:r>
      <w:r w:rsidRPr="00F54712">
        <w:rPr>
          <w:rFonts w:ascii="Arial" w:hAnsi="Arial" w:cs="Arial"/>
          <w:sz w:val="16"/>
          <w:szCs w:val="16"/>
        </w:rPr>
        <w:t xml:space="preserve"> </w:t>
      </w:r>
      <w:r w:rsidRPr="00F54712">
        <w:rPr>
          <w:rFonts w:ascii="Arial" w:hAnsi="Arial" w:cs="Arial"/>
          <w:sz w:val="16"/>
          <w:szCs w:val="16"/>
          <w:lang w:val="es-CL"/>
        </w:rPr>
        <w:t>No Aplica</w:t>
      </w:r>
      <w:r w:rsidR="006173ED">
        <w:rPr>
          <w:rFonts w:ascii="Arial" w:hAnsi="Arial" w:cs="Arial"/>
          <w:sz w:val="16"/>
          <w:szCs w:val="16"/>
          <w:lang w:val="es-CL"/>
        </w:rPr>
        <w:t>. El compromiso</w:t>
      </w:r>
      <w:r w:rsidRPr="00F54712">
        <w:rPr>
          <w:rFonts w:ascii="Arial" w:hAnsi="Arial" w:cs="Arial"/>
          <w:sz w:val="16"/>
          <w:szCs w:val="16"/>
          <w:lang w:val="es-CL"/>
        </w:rPr>
        <w:t xml:space="preserve"> consiste en medir e informar correctamente los datos efectivos, los cuales no tienen una meta asociada.</w:t>
      </w:r>
    </w:p>
    <w:p w14:paraId="3331A8F5" w14:textId="77777777" w:rsidR="003A1B53" w:rsidRPr="00CF2E8C" w:rsidRDefault="003A1B53">
      <w:pPr>
        <w:pStyle w:val="Textonotapie"/>
        <w:rPr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81C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A3B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2F3C"/>
    <w:multiLevelType w:val="multilevel"/>
    <w:tmpl w:val="DA822EA0"/>
    <w:lvl w:ilvl="0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D231E2"/>
    <w:multiLevelType w:val="hybridMultilevel"/>
    <w:tmpl w:val="AB14AE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8BB"/>
    <w:multiLevelType w:val="hybridMultilevel"/>
    <w:tmpl w:val="B2469F36"/>
    <w:lvl w:ilvl="0" w:tplc="DD165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7F8E"/>
    <w:multiLevelType w:val="hybridMultilevel"/>
    <w:tmpl w:val="AB14AE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7902"/>
    <w:multiLevelType w:val="hybridMultilevel"/>
    <w:tmpl w:val="E6BC4AAC"/>
    <w:lvl w:ilvl="0" w:tplc="A712D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DD5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9CE"/>
    <w:multiLevelType w:val="hybridMultilevel"/>
    <w:tmpl w:val="3F5865F2"/>
    <w:lvl w:ilvl="0" w:tplc="74E0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04AF"/>
    <w:multiLevelType w:val="hybridMultilevel"/>
    <w:tmpl w:val="312CDA0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24C81"/>
    <w:multiLevelType w:val="multilevel"/>
    <w:tmpl w:val="B63E0320"/>
    <w:lvl w:ilvl="0">
      <w:start w:val="1"/>
      <w:numFmt w:val="upperRoman"/>
      <w:lvlText w:val="%1."/>
      <w:lvlJc w:val="left"/>
      <w:pPr>
        <w:tabs>
          <w:tab w:val="num" w:pos="69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i w:val="0"/>
        <w:color w:val="auto"/>
        <w:sz w:val="16"/>
        <w:szCs w:val="16"/>
      </w:rPr>
    </w:lvl>
    <w:lvl w:ilvl="2">
      <w:start w:val="1"/>
      <w:numFmt w:val="decimal"/>
      <w:pStyle w:val="Ttulo3"/>
      <w:lvlText w:val="%2.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4E794C41"/>
    <w:multiLevelType w:val="hybridMultilevel"/>
    <w:tmpl w:val="32369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1A01"/>
    <w:multiLevelType w:val="hybridMultilevel"/>
    <w:tmpl w:val="AB14AE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1B89"/>
    <w:multiLevelType w:val="multilevel"/>
    <w:tmpl w:val="1FAEA774"/>
    <w:lvl w:ilvl="0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EB2EB2"/>
    <w:multiLevelType w:val="hybridMultilevel"/>
    <w:tmpl w:val="3186458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1A6FCC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2421"/>
    <w:multiLevelType w:val="hybridMultilevel"/>
    <w:tmpl w:val="162294D4"/>
    <w:lvl w:ilvl="0" w:tplc="F60834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BA0"/>
    <w:multiLevelType w:val="hybridMultilevel"/>
    <w:tmpl w:val="B178F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4"/>
  </w:num>
  <w:num w:numId="8">
    <w:abstractNumId w:val="3"/>
  </w:num>
  <w:num w:numId="9">
    <w:abstractNumId w:val="5"/>
  </w:num>
  <w:num w:numId="10">
    <w:abstractNumId w:val="16"/>
  </w:num>
  <w:num w:numId="11">
    <w:abstractNumId w:val="9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82"/>
    <w:rsid w:val="0000018F"/>
    <w:rsid w:val="0000427A"/>
    <w:rsid w:val="0000576C"/>
    <w:rsid w:val="000063BF"/>
    <w:rsid w:val="0001009D"/>
    <w:rsid w:val="00011FAB"/>
    <w:rsid w:val="00013DFB"/>
    <w:rsid w:val="0002548E"/>
    <w:rsid w:val="0002610F"/>
    <w:rsid w:val="00031549"/>
    <w:rsid w:val="00044AEE"/>
    <w:rsid w:val="000450C4"/>
    <w:rsid w:val="0004570F"/>
    <w:rsid w:val="000470D8"/>
    <w:rsid w:val="000473DB"/>
    <w:rsid w:val="00054950"/>
    <w:rsid w:val="00055A4C"/>
    <w:rsid w:val="00055D33"/>
    <w:rsid w:val="00057F7D"/>
    <w:rsid w:val="000649E7"/>
    <w:rsid w:val="000709B5"/>
    <w:rsid w:val="00086F84"/>
    <w:rsid w:val="00097F47"/>
    <w:rsid w:val="000A5EF6"/>
    <w:rsid w:val="000B4B24"/>
    <w:rsid w:val="000C3EA7"/>
    <w:rsid w:val="000C401C"/>
    <w:rsid w:val="000D1916"/>
    <w:rsid w:val="000D3021"/>
    <w:rsid w:val="000D7233"/>
    <w:rsid w:val="000F58A4"/>
    <w:rsid w:val="001004B2"/>
    <w:rsid w:val="00101AB7"/>
    <w:rsid w:val="00103C42"/>
    <w:rsid w:val="00104CE0"/>
    <w:rsid w:val="00120621"/>
    <w:rsid w:val="00130AD8"/>
    <w:rsid w:val="00136B58"/>
    <w:rsid w:val="00140AE3"/>
    <w:rsid w:val="001426FF"/>
    <w:rsid w:val="00156C0A"/>
    <w:rsid w:val="00156EB0"/>
    <w:rsid w:val="00185AEB"/>
    <w:rsid w:val="00192BDF"/>
    <w:rsid w:val="0019695D"/>
    <w:rsid w:val="00197746"/>
    <w:rsid w:val="001D1093"/>
    <w:rsid w:val="001E3331"/>
    <w:rsid w:val="001E5727"/>
    <w:rsid w:val="001E6BE0"/>
    <w:rsid w:val="001F1B37"/>
    <w:rsid w:val="001F4643"/>
    <w:rsid w:val="001F578C"/>
    <w:rsid w:val="001F6D1C"/>
    <w:rsid w:val="002223B4"/>
    <w:rsid w:val="0023272C"/>
    <w:rsid w:val="002340FA"/>
    <w:rsid w:val="00234986"/>
    <w:rsid w:val="00242FE2"/>
    <w:rsid w:val="00245E28"/>
    <w:rsid w:val="002558A6"/>
    <w:rsid w:val="00267394"/>
    <w:rsid w:val="00274FA0"/>
    <w:rsid w:val="00285CE3"/>
    <w:rsid w:val="00286094"/>
    <w:rsid w:val="00293334"/>
    <w:rsid w:val="002A1145"/>
    <w:rsid w:val="002C0030"/>
    <w:rsid w:val="002C0A34"/>
    <w:rsid w:val="002C5D4D"/>
    <w:rsid w:val="002D40ED"/>
    <w:rsid w:val="002F0F61"/>
    <w:rsid w:val="002F55F7"/>
    <w:rsid w:val="002F75FE"/>
    <w:rsid w:val="003016C0"/>
    <w:rsid w:val="00305DA2"/>
    <w:rsid w:val="00314873"/>
    <w:rsid w:val="00324581"/>
    <w:rsid w:val="00331D20"/>
    <w:rsid w:val="00350755"/>
    <w:rsid w:val="00354EA1"/>
    <w:rsid w:val="003566C0"/>
    <w:rsid w:val="0036345D"/>
    <w:rsid w:val="00366FA9"/>
    <w:rsid w:val="003769A9"/>
    <w:rsid w:val="00376C1D"/>
    <w:rsid w:val="00382F6A"/>
    <w:rsid w:val="00393414"/>
    <w:rsid w:val="00395E36"/>
    <w:rsid w:val="003963F0"/>
    <w:rsid w:val="003A098F"/>
    <w:rsid w:val="003A120A"/>
    <w:rsid w:val="003A1B53"/>
    <w:rsid w:val="003A2019"/>
    <w:rsid w:val="003A26E4"/>
    <w:rsid w:val="003B0717"/>
    <w:rsid w:val="003B3895"/>
    <w:rsid w:val="003D0138"/>
    <w:rsid w:val="003E3B2D"/>
    <w:rsid w:val="003E4B8F"/>
    <w:rsid w:val="003E6E98"/>
    <w:rsid w:val="003F3F5C"/>
    <w:rsid w:val="003F4098"/>
    <w:rsid w:val="003F791A"/>
    <w:rsid w:val="0040247C"/>
    <w:rsid w:val="004104C3"/>
    <w:rsid w:val="00413DA0"/>
    <w:rsid w:val="004175D8"/>
    <w:rsid w:val="00425526"/>
    <w:rsid w:val="004441C8"/>
    <w:rsid w:val="00447837"/>
    <w:rsid w:val="00453B58"/>
    <w:rsid w:val="00461DBD"/>
    <w:rsid w:val="00471834"/>
    <w:rsid w:val="00472543"/>
    <w:rsid w:val="00475433"/>
    <w:rsid w:val="00477B16"/>
    <w:rsid w:val="004812EF"/>
    <w:rsid w:val="00490393"/>
    <w:rsid w:val="00490DA1"/>
    <w:rsid w:val="00493ED0"/>
    <w:rsid w:val="00495422"/>
    <w:rsid w:val="004A3100"/>
    <w:rsid w:val="004A4115"/>
    <w:rsid w:val="004A64E8"/>
    <w:rsid w:val="004B6832"/>
    <w:rsid w:val="004C127D"/>
    <w:rsid w:val="004D2DD6"/>
    <w:rsid w:val="004D4599"/>
    <w:rsid w:val="00501D9D"/>
    <w:rsid w:val="00504AF5"/>
    <w:rsid w:val="005151D3"/>
    <w:rsid w:val="00537D6C"/>
    <w:rsid w:val="00545635"/>
    <w:rsid w:val="005631B8"/>
    <w:rsid w:val="00564E5C"/>
    <w:rsid w:val="00581637"/>
    <w:rsid w:val="00587F79"/>
    <w:rsid w:val="0059036B"/>
    <w:rsid w:val="005926F1"/>
    <w:rsid w:val="00592C80"/>
    <w:rsid w:val="005951D5"/>
    <w:rsid w:val="005C6AF9"/>
    <w:rsid w:val="005C75A0"/>
    <w:rsid w:val="005E447B"/>
    <w:rsid w:val="00611F41"/>
    <w:rsid w:val="0061201E"/>
    <w:rsid w:val="00614E56"/>
    <w:rsid w:val="006173ED"/>
    <w:rsid w:val="00617EE0"/>
    <w:rsid w:val="0062065F"/>
    <w:rsid w:val="006207CE"/>
    <w:rsid w:val="00627E69"/>
    <w:rsid w:val="00635FBA"/>
    <w:rsid w:val="00655563"/>
    <w:rsid w:val="00656B60"/>
    <w:rsid w:val="0066376C"/>
    <w:rsid w:val="00665752"/>
    <w:rsid w:val="00667E62"/>
    <w:rsid w:val="00673AD7"/>
    <w:rsid w:val="00675758"/>
    <w:rsid w:val="00692F5E"/>
    <w:rsid w:val="006933AE"/>
    <w:rsid w:val="00696A00"/>
    <w:rsid w:val="00697A89"/>
    <w:rsid w:val="006A1E34"/>
    <w:rsid w:val="006A236B"/>
    <w:rsid w:val="006A48DF"/>
    <w:rsid w:val="006A4AFD"/>
    <w:rsid w:val="006B460A"/>
    <w:rsid w:val="006C27E5"/>
    <w:rsid w:val="006C6CD4"/>
    <w:rsid w:val="006D3693"/>
    <w:rsid w:val="006D6A84"/>
    <w:rsid w:val="006D7A7A"/>
    <w:rsid w:val="006E43C1"/>
    <w:rsid w:val="006E6654"/>
    <w:rsid w:val="006F75CB"/>
    <w:rsid w:val="0070093C"/>
    <w:rsid w:val="00711F4A"/>
    <w:rsid w:val="00715120"/>
    <w:rsid w:val="00715E0F"/>
    <w:rsid w:val="00724499"/>
    <w:rsid w:val="00724B34"/>
    <w:rsid w:val="00732B2B"/>
    <w:rsid w:val="00742DCC"/>
    <w:rsid w:val="00746932"/>
    <w:rsid w:val="007514AD"/>
    <w:rsid w:val="007522D0"/>
    <w:rsid w:val="00757561"/>
    <w:rsid w:val="00760CC3"/>
    <w:rsid w:val="00775D99"/>
    <w:rsid w:val="00780389"/>
    <w:rsid w:val="007837B1"/>
    <w:rsid w:val="00784771"/>
    <w:rsid w:val="007972D4"/>
    <w:rsid w:val="007A1AAD"/>
    <w:rsid w:val="007B1421"/>
    <w:rsid w:val="007C05B0"/>
    <w:rsid w:val="007C7186"/>
    <w:rsid w:val="007D0CF3"/>
    <w:rsid w:val="007D5B26"/>
    <w:rsid w:val="007D6218"/>
    <w:rsid w:val="007F7B6C"/>
    <w:rsid w:val="008011BC"/>
    <w:rsid w:val="00805984"/>
    <w:rsid w:val="0080708D"/>
    <w:rsid w:val="00817603"/>
    <w:rsid w:val="00820362"/>
    <w:rsid w:val="00824D60"/>
    <w:rsid w:val="0083075A"/>
    <w:rsid w:val="00837328"/>
    <w:rsid w:val="00845299"/>
    <w:rsid w:val="00850046"/>
    <w:rsid w:val="00851716"/>
    <w:rsid w:val="00857BAB"/>
    <w:rsid w:val="00860DE5"/>
    <w:rsid w:val="00864154"/>
    <w:rsid w:val="00867803"/>
    <w:rsid w:val="008D4804"/>
    <w:rsid w:val="008D5142"/>
    <w:rsid w:val="008D6416"/>
    <w:rsid w:val="008F195E"/>
    <w:rsid w:val="008F52B9"/>
    <w:rsid w:val="009015A3"/>
    <w:rsid w:val="00902A97"/>
    <w:rsid w:val="00903F5E"/>
    <w:rsid w:val="00905883"/>
    <w:rsid w:val="00912DBF"/>
    <w:rsid w:val="00927EC6"/>
    <w:rsid w:val="00934AB1"/>
    <w:rsid w:val="009435DF"/>
    <w:rsid w:val="00945966"/>
    <w:rsid w:val="00946828"/>
    <w:rsid w:val="00951AA1"/>
    <w:rsid w:val="00954B0E"/>
    <w:rsid w:val="00964589"/>
    <w:rsid w:val="00967F91"/>
    <w:rsid w:val="00980BD1"/>
    <w:rsid w:val="00984EC9"/>
    <w:rsid w:val="00986404"/>
    <w:rsid w:val="00994FEF"/>
    <w:rsid w:val="00995415"/>
    <w:rsid w:val="009A5FA5"/>
    <w:rsid w:val="009D1E41"/>
    <w:rsid w:val="00A0335C"/>
    <w:rsid w:val="00A12D38"/>
    <w:rsid w:val="00A13B12"/>
    <w:rsid w:val="00A3330C"/>
    <w:rsid w:val="00A46D0C"/>
    <w:rsid w:val="00A545B6"/>
    <w:rsid w:val="00A60614"/>
    <w:rsid w:val="00AA71A8"/>
    <w:rsid w:val="00AB13F0"/>
    <w:rsid w:val="00AB4B07"/>
    <w:rsid w:val="00AB5C4B"/>
    <w:rsid w:val="00AD5E24"/>
    <w:rsid w:val="00AF0D14"/>
    <w:rsid w:val="00B06BD0"/>
    <w:rsid w:val="00B076A3"/>
    <w:rsid w:val="00B163BE"/>
    <w:rsid w:val="00B21601"/>
    <w:rsid w:val="00B36C93"/>
    <w:rsid w:val="00B461FB"/>
    <w:rsid w:val="00B54460"/>
    <w:rsid w:val="00B64DEE"/>
    <w:rsid w:val="00B72EC4"/>
    <w:rsid w:val="00B77B60"/>
    <w:rsid w:val="00B91440"/>
    <w:rsid w:val="00B93273"/>
    <w:rsid w:val="00BC462E"/>
    <w:rsid w:val="00BD2D91"/>
    <w:rsid w:val="00BD711D"/>
    <w:rsid w:val="00BE2EF0"/>
    <w:rsid w:val="00BE5F98"/>
    <w:rsid w:val="00BF67BA"/>
    <w:rsid w:val="00C130DF"/>
    <w:rsid w:val="00C1582D"/>
    <w:rsid w:val="00C32695"/>
    <w:rsid w:val="00C57C1E"/>
    <w:rsid w:val="00C84AFB"/>
    <w:rsid w:val="00C941B1"/>
    <w:rsid w:val="00CA09D2"/>
    <w:rsid w:val="00CA18F9"/>
    <w:rsid w:val="00CA451C"/>
    <w:rsid w:val="00CB4964"/>
    <w:rsid w:val="00CB7B82"/>
    <w:rsid w:val="00CC4657"/>
    <w:rsid w:val="00CC565B"/>
    <w:rsid w:val="00CD251A"/>
    <w:rsid w:val="00CD3110"/>
    <w:rsid w:val="00CE2687"/>
    <w:rsid w:val="00CF2E8C"/>
    <w:rsid w:val="00D01187"/>
    <w:rsid w:val="00D12CAA"/>
    <w:rsid w:val="00D15A29"/>
    <w:rsid w:val="00D16BC0"/>
    <w:rsid w:val="00D33557"/>
    <w:rsid w:val="00D35CD1"/>
    <w:rsid w:val="00D438DA"/>
    <w:rsid w:val="00D51CFC"/>
    <w:rsid w:val="00D53289"/>
    <w:rsid w:val="00D538A8"/>
    <w:rsid w:val="00D80076"/>
    <w:rsid w:val="00D8430D"/>
    <w:rsid w:val="00D92E51"/>
    <w:rsid w:val="00DA546F"/>
    <w:rsid w:val="00DA5BD1"/>
    <w:rsid w:val="00DB4E38"/>
    <w:rsid w:val="00DC0574"/>
    <w:rsid w:val="00DC0703"/>
    <w:rsid w:val="00DF3E44"/>
    <w:rsid w:val="00E00EB4"/>
    <w:rsid w:val="00E04AA8"/>
    <w:rsid w:val="00E27E27"/>
    <w:rsid w:val="00E3427D"/>
    <w:rsid w:val="00E45815"/>
    <w:rsid w:val="00E52BD4"/>
    <w:rsid w:val="00E61CF1"/>
    <w:rsid w:val="00E6356A"/>
    <w:rsid w:val="00E63C72"/>
    <w:rsid w:val="00E72909"/>
    <w:rsid w:val="00E73C2B"/>
    <w:rsid w:val="00E8024E"/>
    <w:rsid w:val="00E81BD2"/>
    <w:rsid w:val="00E862A5"/>
    <w:rsid w:val="00E87250"/>
    <w:rsid w:val="00EA190F"/>
    <w:rsid w:val="00EA537C"/>
    <w:rsid w:val="00EB26CA"/>
    <w:rsid w:val="00ED2280"/>
    <w:rsid w:val="00ED34EE"/>
    <w:rsid w:val="00ED4EDE"/>
    <w:rsid w:val="00ED727A"/>
    <w:rsid w:val="00EE1572"/>
    <w:rsid w:val="00F05FC3"/>
    <w:rsid w:val="00F07984"/>
    <w:rsid w:val="00F1155D"/>
    <w:rsid w:val="00F13E33"/>
    <w:rsid w:val="00F15190"/>
    <w:rsid w:val="00F2116A"/>
    <w:rsid w:val="00F40FB4"/>
    <w:rsid w:val="00F44098"/>
    <w:rsid w:val="00F47DE7"/>
    <w:rsid w:val="00F500EB"/>
    <w:rsid w:val="00F52009"/>
    <w:rsid w:val="00F54712"/>
    <w:rsid w:val="00F7185B"/>
    <w:rsid w:val="00F81C02"/>
    <w:rsid w:val="00F836F9"/>
    <w:rsid w:val="00FA0C69"/>
    <w:rsid w:val="00FB53E3"/>
    <w:rsid w:val="00FC32E2"/>
    <w:rsid w:val="00FC396E"/>
    <w:rsid w:val="00FC545D"/>
    <w:rsid w:val="00FD074D"/>
    <w:rsid w:val="00FD7F46"/>
    <w:rsid w:val="00FE01AD"/>
    <w:rsid w:val="00FE2C85"/>
    <w:rsid w:val="00FF1897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7F07"/>
  <w15:docId w15:val="{6961976A-F935-4A11-AAA6-AAFDE6D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8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1"/>
    <w:qFormat/>
    <w:rsid w:val="00CB7B82"/>
    <w:pPr>
      <w:keepNext/>
      <w:jc w:val="center"/>
      <w:outlineLvl w:val="0"/>
    </w:pPr>
    <w:rPr>
      <w:b/>
      <w:smallCaps/>
      <w:sz w:val="28"/>
      <w:szCs w:val="22"/>
    </w:rPr>
  </w:style>
  <w:style w:type="paragraph" w:styleId="Ttulo3">
    <w:name w:val="heading 3"/>
    <w:basedOn w:val="Normal"/>
    <w:next w:val="Normal"/>
    <w:link w:val="Ttulo3Car"/>
    <w:qFormat/>
    <w:rsid w:val="00CB7B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B7B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B7B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B7B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B7B8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B7B8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CB7B8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CB7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B7B82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7B82"/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7B82"/>
    <w:rPr>
      <w:rFonts w:ascii="Arial Narrow" w:eastAsia="Times New Roman" w:hAnsi="Arial Narrow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7B82"/>
    <w:rPr>
      <w:rFonts w:ascii="Arial Narrow" w:eastAsia="Times New Roman" w:hAnsi="Arial Narrow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7B82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7B82"/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7B82"/>
    <w:rPr>
      <w:rFonts w:ascii="Arial" w:eastAsia="Times New Roman" w:hAnsi="Arial" w:cs="Times New Roman"/>
      <w:lang w:val="es-ES" w:eastAsia="es-ES"/>
    </w:rPr>
  </w:style>
  <w:style w:type="character" w:customStyle="1" w:styleId="Ttulo1Car1">
    <w:name w:val="Título 1 Car1"/>
    <w:link w:val="Ttulo1"/>
    <w:locked/>
    <w:rsid w:val="00CB7B82"/>
    <w:rPr>
      <w:rFonts w:ascii="Arial Narrow" w:eastAsia="Times New Roman" w:hAnsi="Arial Narrow" w:cs="Times New Roman"/>
      <w:b/>
      <w:smallCaps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CB7B82"/>
    <w:pPr>
      <w:ind w:left="720"/>
      <w:contextualSpacing/>
    </w:pPr>
  </w:style>
  <w:style w:type="character" w:styleId="Hipervnculo">
    <w:name w:val="Hyperlink"/>
    <w:uiPriority w:val="99"/>
    <w:rsid w:val="00CB7B82"/>
    <w:rPr>
      <w:rFonts w:cs="Times New Roman"/>
      <w:color w:val="0000FF"/>
      <w:u w:val="single"/>
    </w:rPr>
  </w:style>
  <w:style w:type="paragraph" w:customStyle="1" w:styleId="Default">
    <w:name w:val="Default"/>
    <w:rsid w:val="00927EC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rsid w:val="00B36C93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B36C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B36C93"/>
    <w:rPr>
      <w:rFonts w:cs="Times New Roman"/>
      <w:vertAlign w:val="superscript"/>
    </w:rPr>
  </w:style>
  <w:style w:type="paragraph" w:styleId="Sinespaciado">
    <w:name w:val="No Spacing"/>
    <w:uiPriority w:val="1"/>
    <w:qFormat/>
    <w:rsid w:val="00B6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32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289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32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289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62065F"/>
    <w:pPr>
      <w:spacing w:after="200"/>
    </w:pPr>
    <w:rPr>
      <w:rFonts w:asciiTheme="minorHAnsi" w:eastAsiaTheme="minorEastAsia" w:hAnsiTheme="minorHAnsi" w:cstheme="minorBidi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065F"/>
    <w:rPr>
      <w:rFonts w:eastAsiaTheme="minorEastAsia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016C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6C0"/>
    <w:pPr>
      <w:spacing w:after="0"/>
    </w:pPr>
    <w:rPr>
      <w:rFonts w:ascii="Arial Narrow" w:eastAsia="Times New Roman" w:hAnsi="Arial Narrow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6C0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6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6C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normaltextrun">
    <w:name w:val="normaltextrun"/>
    <w:basedOn w:val="Fuentedeprrafopredeter"/>
    <w:rsid w:val="0061201E"/>
  </w:style>
  <w:style w:type="character" w:customStyle="1" w:styleId="eop">
    <w:name w:val="eop"/>
    <w:basedOn w:val="Fuentedeprrafopredeter"/>
    <w:rsid w:val="0061201E"/>
  </w:style>
  <w:style w:type="character" w:customStyle="1" w:styleId="scxw172852953">
    <w:name w:val="scxw172852953"/>
    <w:basedOn w:val="Fuentedeprrafopredeter"/>
    <w:rsid w:val="0061201E"/>
  </w:style>
  <w:style w:type="character" w:customStyle="1" w:styleId="scxw14589775">
    <w:name w:val="scxw14589775"/>
    <w:basedOn w:val="Fuentedeprrafopredeter"/>
    <w:rsid w:val="000D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A76B-36A3-4B8D-A4A5-A16B4A4C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3474</Words>
  <Characters>19107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respinoza</dc:creator>
  <cp:lastModifiedBy>Cinthia Noemi Avellaneda Vera</cp:lastModifiedBy>
  <cp:revision>12</cp:revision>
  <dcterms:created xsi:type="dcterms:W3CDTF">2022-01-21T15:17:00Z</dcterms:created>
  <dcterms:modified xsi:type="dcterms:W3CDTF">2022-01-24T12:05:00Z</dcterms:modified>
</cp:coreProperties>
</file>