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BD7D" w14:textId="430DC3BD" w:rsidR="00CB7B82" w:rsidRDefault="00E87250" w:rsidP="00CB7B82">
      <w:pPr>
        <w:pStyle w:val="Ttulo1"/>
      </w:pPr>
      <w:bookmarkStart w:id="0" w:name="_Toc476048400"/>
      <w:r>
        <w:t xml:space="preserve">ANEXO: </w:t>
      </w:r>
      <w:r w:rsidR="0004570F">
        <w:t>FORMULACIÓN COMPROMISOS DE GESTIÓN</w:t>
      </w:r>
      <w:r w:rsidR="00CB7B82">
        <w:t xml:space="preserve"> </w:t>
      </w:r>
      <w:r w:rsidR="009435DF">
        <w:t>PROGRAMA MEJORAMIENTO DE LA GESTIÓN (PMG)</w:t>
      </w:r>
      <w:r w:rsidR="00CB7B82">
        <w:t xml:space="preserve"> </w:t>
      </w:r>
      <w:bookmarkEnd w:id="0"/>
      <w:r w:rsidR="00990C2C">
        <w:t>2021</w:t>
      </w:r>
    </w:p>
    <w:p w14:paraId="0BE49424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  <w:bookmarkStart w:id="1" w:name="_Toc476048401"/>
    </w:p>
    <w:p w14:paraId="5B13DA14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p w14:paraId="23A22987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880"/>
      </w:tblGrid>
      <w:tr w:rsidR="00860DE5" w:rsidRPr="005103A3" w14:paraId="474CBD73" w14:textId="77777777" w:rsidTr="003D0138">
        <w:trPr>
          <w:trHeight w:val="383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1F1FE7FA" w14:textId="77777777" w:rsidR="00860DE5" w:rsidRPr="005103A3" w:rsidRDefault="00860DE5" w:rsidP="004718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SERVICIO</w:t>
            </w:r>
          </w:p>
        </w:tc>
        <w:tc>
          <w:tcPr>
            <w:tcW w:w="5880" w:type="dxa"/>
            <w:vAlign w:val="center"/>
          </w:tcPr>
          <w:p w14:paraId="261323AF" w14:textId="77777777" w:rsidR="00860DE5" w:rsidRPr="005103A3" w:rsidRDefault="00860DE5" w:rsidP="00471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SUB</w:t>
            </w:r>
            <w:r w:rsidR="001F1B37">
              <w:rPr>
                <w:rFonts w:ascii="Arial" w:hAnsi="Arial" w:cs="Arial"/>
                <w:sz w:val="18"/>
                <w:szCs w:val="16"/>
              </w:rPr>
              <w:t>SE</w:t>
            </w:r>
            <w:r>
              <w:rPr>
                <w:rFonts w:ascii="Arial" w:hAnsi="Arial" w:cs="Arial"/>
                <w:sz w:val="18"/>
                <w:szCs w:val="16"/>
              </w:rPr>
              <w:t>CRETARÍA DE EVALUACIÓN SOCIAL</w:t>
            </w:r>
          </w:p>
        </w:tc>
      </w:tr>
      <w:tr w:rsidR="00860DE5" w:rsidRPr="005103A3" w14:paraId="4B9BCC97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660CCC8D" w14:textId="77777777" w:rsidR="00860DE5" w:rsidRPr="005103A3" w:rsidRDefault="00860DE5" w:rsidP="004718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SISTEMA DE GESTIÓN</w:t>
            </w:r>
          </w:p>
        </w:tc>
        <w:tc>
          <w:tcPr>
            <w:tcW w:w="5880" w:type="dxa"/>
            <w:vAlign w:val="center"/>
          </w:tcPr>
          <w:p w14:paraId="14102D05" w14:textId="77777777" w:rsidR="00860DE5" w:rsidRPr="00471834" w:rsidRDefault="00860DE5" w:rsidP="00471834">
            <w:pPr>
              <w:jc w:val="center"/>
              <w:rPr>
                <w:rFonts w:ascii="Arial" w:hAnsi="Arial" w:cs="Arial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MONITOREO DEL DESEMPEÑO INSTITUCIONAL</w:t>
            </w:r>
          </w:p>
        </w:tc>
      </w:tr>
      <w:tr w:rsidR="003D0138" w:rsidRPr="00FC32E2" w14:paraId="5B1BA267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3304AA67" w14:textId="77777777" w:rsidR="003D0138" w:rsidRPr="00FC32E2" w:rsidRDefault="003D0138" w:rsidP="00BF67B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C32E2">
              <w:rPr>
                <w:rFonts w:ascii="Arial" w:hAnsi="Arial" w:cs="Arial"/>
                <w:b/>
                <w:sz w:val="18"/>
                <w:szCs w:val="16"/>
              </w:rPr>
              <w:t>OBJETIVO DE GESTIÓN</w:t>
            </w:r>
          </w:p>
        </w:tc>
        <w:tc>
          <w:tcPr>
            <w:tcW w:w="5880" w:type="dxa"/>
            <w:shd w:val="clear" w:color="auto" w:fill="A6A6A6" w:themeFill="background1" w:themeFillShade="A6"/>
            <w:vAlign w:val="center"/>
          </w:tcPr>
          <w:p w14:paraId="7AD511DF" w14:textId="6FE9FDFC" w:rsidR="003D0138" w:rsidRPr="00FC32E2" w:rsidRDefault="003D0138" w:rsidP="00BF67B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C32E2">
              <w:rPr>
                <w:rFonts w:ascii="Arial" w:hAnsi="Arial" w:cs="Arial"/>
                <w:b/>
                <w:sz w:val="18"/>
                <w:szCs w:val="16"/>
              </w:rPr>
              <w:t xml:space="preserve">PONDERACIÓN </w:t>
            </w:r>
          </w:p>
        </w:tc>
      </w:tr>
      <w:tr w:rsidR="003D0138" w:rsidRPr="00FC32E2" w14:paraId="6F386F0F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4E323623" w14:textId="64AF16FC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Gestión Eficaz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64C83224" w14:textId="010613AD" w:rsidR="003D0138" w:rsidRPr="000A5EF6" w:rsidRDefault="00D53492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="00054950">
              <w:rPr>
                <w:rFonts w:ascii="Arial" w:hAnsi="Arial" w:cs="Arial"/>
                <w:sz w:val="18"/>
                <w:szCs w:val="16"/>
              </w:rPr>
              <w:t>0</w:t>
            </w:r>
            <w:r w:rsidR="003D0138"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3D0138" w:rsidRPr="00FC32E2" w14:paraId="59FD7FF6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63098670" w14:textId="3CB505D9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Eficiencia Institucional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06190D2" w14:textId="09BE8178" w:rsidR="003D0138" w:rsidRPr="000A5EF6" w:rsidRDefault="003D0138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054950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3D0138" w:rsidRPr="00FC32E2" w14:paraId="42C43253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6D22D8A1" w14:textId="757227D2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Calidad de Servicio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C0F51DD" w14:textId="2B17A80B" w:rsidR="003D0138" w:rsidRPr="000A5EF6" w:rsidRDefault="00D53492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054950">
              <w:rPr>
                <w:rFonts w:ascii="Arial" w:hAnsi="Arial" w:cs="Arial"/>
                <w:sz w:val="18"/>
                <w:szCs w:val="16"/>
              </w:rPr>
              <w:t>5</w:t>
            </w:r>
            <w:r w:rsidR="003D0138"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1F1B37" w:rsidRPr="00FC32E2" w14:paraId="5A5E3689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6A6A6" w:themeFill="background1" w:themeFillShade="A6"/>
            <w:vAlign w:val="center"/>
          </w:tcPr>
          <w:p w14:paraId="72A24AF3" w14:textId="77777777" w:rsidR="001F1B37" w:rsidRDefault="001F1B37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57224FDA" w14:textId="77777777" w:rsidR="001F1B37" w:rsidRDefault="001F1B37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100%</w:t>
            </w:r>
          </w:p>
        </w:tc>
      </w:tr>
    </w:tbl>
    <w:p w14:paraId="6B5F0587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p w14:paraId="3763EB21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F4017CC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28DDB98A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5D23A11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AE81E3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5DCE20C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5D8E90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5D70CFB7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BDD8A54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D10931B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FE83D70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B89C83B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FD3516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8E6D1A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A06E452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571C4A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893051A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B3791A1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DDACFD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6E652D38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A84B8A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0AD9E17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6F9698A4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F6AC5EF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E38537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1E7D162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59"/>
        <w:gridCol w:w="2552"/>
        <w:gridCol w:w="1134"/>
        <w:gridCol w:w="992"/>
        <w:gridCol w:w="1134"/>
        <w:gridCol w:w="9780"/>
      </w:tblGrid>
      <w:tr w:rsidR="00860DE5" w:rsidRPr="00013B88" w14:paraId="05964209" w14:textId="77777777" w:rsidTr="00724B34">
        <w:trPr>
          <w:trHeight w:val="737"/>
          <w:tblHeader/>
          <w:jc w:val="center"/>
        </w:trPr>
        <w:tc>
          <w:tcPr>
            <w:tcW w:w="8638" w:type="dxa"/>
            <w:gridSpan w:val="6"/>
            <w:shd w:val="clear" w:color="auto" w:fill="1F497D" w:themeFill="text2"/>
            <w:vAlign w:val="center"/>
            <w:hideMark/>
          </w:tcPr>
          <w:p w14:paraId="05585075" w14:textId="567D2536" w:rsidR="00860DE5" w:rsidRPr="00236F5A" w:rsidRDefault="00860DE5" w:rsidP="00860DE5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OBJETIVO DE GESTIÓN </w:t>
            </w:r>
          </w:p>
        </w:tc>
        <w:tc>
          <w:tcPr>
            <w:tcW w:w="9780" w:type="dxa"/>
            <w:shd w:val="clear" w:color="auto" w:fill="1F497D" w:themeFill="text2"/>
            <w:vAlign w:val="center"/>
          </w:tcPr>
          <w:p w14:paraId="2813404B" w14:textId="3C9E17DE" w:rsidR="00860DE5" w:rsidRPr="008F195E" w:rsidRDefault="003D0138" w:rsidP="00860DE5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D0138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 xml:space="preserve">Gestión Eficaz (Ponderación: </w:t>
            </w:r>
            <w:r w:rsidR="005F6E9A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>4</w:t>
            </w:r>
            <w:r w:rsidRPr="003D0138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>0.00%.)</w:t>
            </w:r>
          </w:p>
        </w:tc>
      </w:tr>
      <w:bookmarkEnd w:id="1"/>
      <w:tr w:rsidR="00860DE5" w:rsidRPr="00013B88" w14:paraId="446A78D4" w14:textId="77777777" w:rsidTr="00724B34">
        <w:trPr>
          <w:trHeight w:val="737"/>
          <w:tblHeader/>
          <w:jc w:val="center"/>
        </w:trPr>
        <w:tc>
          <w:tcPr>
            <w:tcW w:w="567" w:type="dxa"/>
            <w:shd w:val="clear" w:color="auto" w:fill="1F497D" w:themeFill="text2"/>
            <w:vAlign w:val="center"/>
            <w:hideMark/>
          </w:tcPr>
          <w:p w14:paraId="706FFD01" w14:textId="77777777" w:rsidR="00860DE5" w:rsidRPr="0018468A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proofErr w:type="spellStart"/>
            <w:proofErr w:type="gramStart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</w:t>
            </w:r>
            <w:proofErr w:type="spellEnd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 xml:space="preserve">  Meta</w:t>
            </w:r>
            <w:proofErr w:type="gramEnd"/>
          </w:p>
        </w:tc>
        <w:tc>
          <w:tcPr>
            <w:tcW w:w="2259" w:type="dxa"/>
            <w:shd w:val="clear" w:color="auto" w:fill="1F497D" w:themeFill="text2"/>
            <w:vAlign w:val="center"/>
            <w:hideMark/>
          </w:tcPr>
          <w:p w14:paraId="1349EFE0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2552" w:type="dxa"/>
            <w:shd w:val="clear" w:color="auto" w:fill="1F497D" w:themeFill="text2"/>
            <w:vAlign w:val="center"/>
            <w:hideMark/>
          </w:tcPr>
          <w:p w14:paraId="1684160E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1134" w:type="dxa"/>
            <w:shd w:val="clear" w:color="auto" w:fill="1F497D" w:themeFill="text2"/>
            <w:vAlign w:val="center"/>
            <w:hideMark/>
          </w:tcPr>
          <w:p w14:paraId="644EDAF8" w14:textId="607C2184" w:rsidR="00860DE5" w:rsidRPr="001C66BD" w:rsidRDefault="00860DE5" w:rsidP="00860DE5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990C2C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2021</w:t>
            </w:r>
            <w:r>
              <w:rPr>
                <w:rStyle w:val="Refdenotaalpie"/>
                <w:b/>
                <w:bCs/>
                <w:color w:val="FFFFFF"/>
                <w:sz w:val="18"/>
                <w:szCs w:val="14"/>
                <w:lang w:val="es-CL" w:eastAsia="es-CL"/>
              </w:rPr>
              <w:footnoteReference w:id="1"/>
            </w:r>
          </w:p>
        </w:tc>
        <w:tc>
          <w:tcPr>
            <w:tcW w:w="992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40334BAA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0AEA7DFF" w14:textId="15B3D9CC" w:rsidR="00860DE5" w:rsidRPr="001C66BD" w:rsidRDefault="00990C2C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2021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60F04CD1" w14:textId="77777777" w:rsidR="00860DE5" w:rsidRPr="001C66BD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9780" w:type="dxa"/>
            <w:shd w:val="clear" w:color="auto" w:fill="1F497D" w:themeFill="text2"/>
            <w:vAlign w:val="center"/>
            <w:hideMark/>
          </w:tcPr>
          <w:p w14:paraId="7DBFDC11" w14:textId="77777777" w:rsidR="00860DE5" w:rsidRPr="001C66BD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860DE5" w:rsidRPr="00007E1F" w14:paraId="47293882" w14:textId="77777777" w:rsidTr="00724B34">
        <w:trPr>
          <w:cantSplit/>
          <w:trHeight w:val="173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3AA3236" w14:textId="77777777" w:rsidR="00860DE5" w:rsidRPr="00724B34" w:rsidRDefault="00860DE5" w:rsidP="001426F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24B34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355093F" w14:textId="1920286F" w:rsidR="00860DE5" w:rsidRPr="003D0138" w:rsidRDefault="00054950" w:rsidP="00F44098">
            <w:pPr>
              <w:jc w:val="both"/>
              <w:rPr>
                <w:rFonts w:ascii="Arial" w:hAnsi="Arial" w:cs="Arial"/>
                <w:szCs w:val="24"/>
              </w:rPr>
            </w:pPr>
            <w:r w:rsidRPr="00054950">
              <w:rPr>
                <w:rFonts w:ascii="Arial" w:eastAsia="Arial" w:hAnsi="Arial"/>
                <w:color w:val="000000"/>
                <w:szCs w:val="24"/>
              </w:rPr>
              <w:t>Porcentaje de indicadores predefinidos incorporados al Sistema Integrado de Información Social con desagregación territorial (SIIS-T) en el año t, respecto del total de indicadores predefinidos, definidos por la autoridad en el año 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50A89B" w14:textId="6656681F" w:rsidR="00860DE5" w:rsidRPr="00E00EB4" w:rsidRDefault="0061201E" w:rsidP="00FF1897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(</w:t>
            </w:r>
            <w:proofErr w:type="spellStart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N°</w:t>
            </w:r>
            <w:proofErr w:type="spellEnd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 xml:space="preserve"> de indicadores predefinidos incorporados al Sistema Integrado de Información Social con desagregación territorial (SIIS-T), en el año t /</w:t>
            </w:r>
            <w:proofErr w:type="spellStart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N°</w:t>
            </w:r>
            <w:proofErr w:type="spellEnd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 xml:space="preserve"> total de indicadores predefinidos, definidos por la autoridad en el año </w:t>
            </w:r>
            <w:proofErr w:type="gramStart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t)*</w:t>
            </w:r>
            <w:proofErr w:type="gramEnd"/>
            <w:r w:rsidRPr="0061201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100</w:t>
            </w:r>
            <w:r w:rsidRPr="0061201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0F961" w14:textId="74A0ADF8" w:rsidR="00860DE5" w:rsidRPr="0061201E" w:rsidRDefault="00D53492" w:rsidP="001004B2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5349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25 /44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BEB7D" w14:textId="22406052" w:rsidR="00860DE5" w:rsidRPr="0061201E" w:rsidRDefault="0061201E" w:rsidP="001426FF">
            <w:pPr>
              <w:jc w:val="center"/>
              <w:rPr>
                <w:rFonts w:ascii="Arial" w:hAnsi="Arial" w:cs="Arial"/>
                <w:szCs w:val="18"/>
              </w:rPr>
            </w:pPr>
            <w:r w:rsidRPr="0061201E">
              <w:rPr>
                <w:rFonts w:ascii="Arial" w:hAnsi="Arial" w:cs="Arial"/>
                <w:szCs w:val="18"/>
              </w:rPr>
              <w:t>5</w:t>
            </w:r>
            <w:r w:rsidR="003D0138" w:rsidRPr="0061201E">
              <w:rPr>
                <w:rFonts w:ascii="Arial" w:hAnsi="Arial" w:cs="Arial"/>
                <w:szCs w:val="18"/>
              </w:rPr>
              <w:t>7</w:t>
            </w:r>
            <w:r w:rsidR="00860DE5" w:rsidRPr="0061201E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5C771" w14:textId="77777777" w:rsidR="00860DE5" w:rsidRPr="0061201E" w:rsidRDefault="00860DE5" w:rsidP="001426FF">
            <w:pPr>
              <w:jc w:val="center"/>
              <w:rPr>
                <w:rFonts w:ascii="Arial" w:hAnsi="Arial" w:cs="Arial"/>
                <w:szCs w:val="18"/>
              </w:rPr>
            </w:pPr>
            <w:r w:rsidRPr="0061201E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auto" w:fill="auto"/>
            <w:noWrap/>
            <w:vAlign w:val="center"/>
          </w:tcPr>
          <w:p w14:paraId="4C111A42" w14:textId="263C0AB1" w:rsidR="00860DE5" w:rsidRPr="006E17CF" w:rsidRDefault="0061201E" w:rsidP="003D01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a) Este indicador está asociado al Sistema Integrado de Información Social con desagregación territorial (SIIS-T) o al sistema que lo reemplace para el mismo propósito, lo que podría involucrar una nueva dirección (URL).</w:t>
            </w:r>
            <w:r w:rsidRPr="006E17CF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b) El SIIS-T (o el sistema que lo reemplace) es una plataforma de almacenamiento, gestión, procesamiento y entrega de información social desagregada a nivel territorial.</w:t>
            </w:r>
            <w:r w:rsidRPr="006E17CF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scxw172852953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c) Entre otras funcionalidades, el sistema permite visualizar indicadores predefinidos que entregan información social relevante sobre distintas temáticas, tales como educación, trabajo u ocupación; pobreza y vulnerabilidad, entre otras. Estos indicadores están desplegados en la plataforma en el denominado Catálogo de indicadores, que contiene un listado que se actualiza periódicamente. La fecha de publicación corresponde a la fecha en que un indicador ha sido incorporado en el Sistema y puede ser visualizado por los usuarios. La incorporación de un indicador corresponde a la fecha en que un indicador es publicado por primera vez o sus datos son actualizados en el Sistema. </w:t>
            </w:r>
            <w:r w:rsidRPr="006E17CF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d) Los niveles de desagregación territorial pueden coincidir con las divisiones político-administrativas del territorio nacional, o bien ser definidas por los usuarios del Sistema. </w:t>
            </w:r>
            <w:r w:rsidRPr="006E17CF">
              <w:rPr>
                <w:rStyle w:val="scxw17285295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scxw172852953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e) Los nuevos indicadores predefinidos a ser incorporados en el SIIS-T (o el sistema que lo reemplace) serán definidos por la autoridad durante el primer trimestre del año t; y pueden referirse a cualquiera de las temáticas sociales que el Sistema permite visualizar.</w:t>
            </w:r>
          </w:p>
        </w:tc>
      </w:tr>
      <w:tr w:rsidR="00D53492" w:rsidRPr="00007E1F" w14:paraId="2560832F" w14:textId="77777777" w:rsidTr="00654ED8">
        <w:trPr>
          <w:cantSplit/>
          <w:trHeight w:val="173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9CC67A" w14:textId="057F24AC" w:rsidR="00D53492" w:rsidRPr="00724B34" w:rsidRDefault="00D53492" w:rsidP="00D5349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14:paraId="037738ED" w14:textId="10493E73" w:rsidR="00D53492" w:rsidRPr="00054950" w:rsidRDefault="00D53492" w:rsidP="00D53492">
            <w:pPr>
              <w:jc w:val="both"/>
              <w:rPr>
                <w:rFonts w:ascii="Arial" w:eastAsia="Arial" w:hAnsi="Arial"/>
                <w:color w:val="000000"/>
                <w:szCs w:val="24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Informes de Seguimiento de Programas e Iniciativas Sociales publicados en el BIPS en los plazos establecidos en la programación, respecto del total de Programas e Iniciativas Sociales que cumplan los criterios para ingresar al proceso </w:t>
            </w:r>
            <w:r w:rsidRPr="000D191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14:paraId="0FCF804B" w14:textId="64ED71F4" w:rsidR="00D53492" w:rsidRPr="0061201E" w:rsidRDefault="00D53492" w:rsidP="00D53492">
            <w:pPr>
              <w:jc w:val="both"/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(</w:t>
            </w:r>
            <w:proofErr w:type="spell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N°</w:t>
            </w:r>
            <w:proofErr w:type="spell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Informes de Seguimiento de Programas e Iniciativas Sociales publicados en el BIPS, en los plazos establecidos en la programación de la División de Políticas Sociales /</w:t>
            </w:r>
            <w:proofErr w:type="spell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N°</w:t>
            </w:r>
            <w:proofErr w:type="spell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total de Programas e Iniciativas Sociales que cumplan con los criterios para ingresar al proceso de seguimiento en el año </w:t>
            </w:r>
            <w:proofErr w:type="gram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  <w:r w:rsidRPr="000D191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6675" w14:textId="1B650C3F" w:rsidR="00D53492" w:rsidRPr="00D53492" w:rsidRDefault="00D53492" w:rsidP="00D53492">
            <w:pPr>
              <w:jc w:val="center"/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</w:pPr>
            <w:r w:rsidRPr="0000018F">
              <w:rPr>
                <w:rFonts w:ascii="Arial" w:hAnsi="Arial" w:cs="Arial"/>
                <w:color w:val="000000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Cs w:val="16"/>
              </w:rPr>
              <w:t>5</w:t>
            </w:r>
            <w:r w:rsidRPr="0000018F">
              <w:rPr>
                <w:rFonts w:ascii="Arial" w:hAnsi="Arial" w:cs="Arial"/>
                <w:color w:val="000000"/>
                <w:szCs w:val="16"/>
              </w:rPr>
              <w:t>0 /4</w:t>
            </w:r>
            <w:r>
              <w:rPr>
                <w:rFonts w:ascii="Arial" w:hAnsi="Arial" w:cs="Arial"/>
                <w:color w:val="000000"/>
                <w:szCs w:val="16"/>
              </w:rPr>
              <w:t>5</w:t>
            </w:r>
            <w:r w:rsidRPr="0000018F">
              <w:rPr>
                <w:rFonts w:ascii="Arial" w:hAnsi="Arial" w:cs="Arial"/>
                <w:color w:val="000000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C6C99" w14:textId="646C6465" w:rsidR="00D53492" w:rsidRPr="0061201E" w:rsidRDefault="00D53492" w:rsidP="00D5349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EF81B" w14:textId="71E084F2" w:rsidR="00D53492" w:rsidRPr="006E17CF" w:rsidRDefault="00D53492" w:rsidP="00D53492">
            <w:pPr>
              <w:jc w:val="center"/>
              <w:rPr>
                <w:rFonts w:ascii="Arial" w:hAnsi="Arial" w:cs="Arial"/>
                <w:szCs w:val="18"/>
              </w:rPr>
            </w:pPr>
            <w:r w:rsidRPr="006E17CF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auto" w:fill="auto"/>
            <w:noWrap/>
            <w:vAlign w:val="center"/>
          </w:tcPr>
          <w:p w14:paraId="47410B6F" w14:textId="4D592B87" w:rsidR="00D53492" w:rsidRPr="006E17CF" w:rsidRDefault="00D53492" w:rsidP="00D53492">
            <w:pPr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</w:pP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a)  Entre enero y abril del año t se levanta el número total de Programas e Iniciativas Sociales que cumplan con los criterios para ingresar al proceso de seguimiento en el año t. Los programas e iniciativas sociales a los que se le hará seguimiento en el año t son aquellos informados por los Ministerios   o Servicios que tuvieron ejecución en t-1 y el seguimiento es respecto de la información del programa o iniciativa social al cierre de su ejecución en diciembre de t-1. El número total de Programas e Iniciativas Sociales que cumplan con los criterios para ingresar al proceso de seguimiento en el año t, será informado al Director de Presupuestos mediante oficio a más tardar el 30 de abril del año t.</w:t>
            </w:r>
            <w:r w:rsidRPr="006E17CF">
              <w:rPr>
                <w:rStyle w:val="scxw14589775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scxw14589775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b) La planificación anual de las publicaciones de Informes de Seguimiento, a realizar por la División de Políticas Sociales, será propuesta a la autoridad a más tardar el 30 de abril del año t, no obstante, se puedan incluir modificaciones a la programación con posterioridad.</w:t>
            </w:r>
          </w:p>
        </w:tc>
      </w:tr>
      <w:tr w:rsidR="00D53492" w:rsidRPr="00007E1F" w14:paraId="14F26CE1" w14:textId="77777777" w:rsidTr="000D1916">
        <w:trPr>
          <w:cantSplit/>
          <w:trHeight w:val="439"/>
          <w:jc w:val="center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69A799" w14:textId="35A21B58" w:rsidR="00D53492" w:rsidRPr="00724B34" w:rsidRDefault="005F6E9A" w:rsidP="00D5349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2259" w:type="dxa"/>
            <w:shd w:val="clear" w:color="000000" w:fill="FFFFFF"/>
            <w:vAlign w:val="center"/>
          </w:tcPr>
          <w:p w14:paraId="1B2DCA35" w14:textId="46591668" w:rsidR="00D53492" w:rsidRPr="000D1916" w:rsidRDefault="00D53492" w:rsidP="00D53492">
            <w:pPr>
              <w:jc w:val="both"/>
              <w:rPr>
                <w:rFonts w:ascii="Arial" w:hAnsi="Arial" w:cs="Aria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medidas para la igualdad de género en el año t implementadas de las seleccionadas del Programa de Trabajo anual en el año t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6B30621" w14:textId="03DCF258" w:rsidR="00D53492" w:rsidRPr="000D1916" w:rsidRDefault="005F6E9A" w:rsidP="00D53492">
            <w:pPr>
              <w:jc w:val="both"/>
              <w:rPr>
                <w:rFonts w:ascii="Arial" w:hAnsi="Arial" w:cs="Arial"/>
              </w:rPr>
            </w:pPr>
            <w:r w:rsidRPr="005F6E9A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(Número de medidas para la igualdad de género implementadas en el año t/Número total de medidas para la igualdad de género establecidas en el programa marco del año </w:t>
            </w:r>
            <w:proofErr w:type="gramStart"/>
            <w:r w:rsidRPr="005F6E9A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5F6E9A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FF06A3" w14:textId="15DB7C40" w:rsidR="00D53492" w:rsidRPr="00724B34" w:rsidRDefault="005F6E9A" w:rsidP="00D53492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</w:t>
            </w:r>
            <w:r w:rsidR="00D53492">
              <w:rPr>
                <w:rFonts w:ascii="Arial" w:hAnsi="Arial" w:cs="Arial"/>
                <w:bCs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AE9593" w14:textId="387E7C1C" w:rsidR="00D53492" w:rsidRPr="00724B34" w:rsidRDefault="005F6E9A" w:rsidP="00D5349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50 </w:t>
            </w:r>
            <w:r w:rsidR="00D53492" w:rsidRPr="00724B34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ACF3A1" w14:textId="77777777" w:rsidR="00D53492" w:rsidRPr="00724B34" w:rsidRDefault="00D53492" w:rsidP="00D53492">
            <w:pPr>
              <w:jc w:val="center"/>
              <w:rPr>
                <w:rFonts w:ascii="Arial" w:hAnsi="Arial" w:cs="Arial"/>
                <w:szCs w:val="18"/>
              </w:rPr>
            </w:pPr>
            <w:r w:rsidRPr="00724B34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000000" w:fill="FFFFFF"/>
            <w:noWrap/>
            <w:vAlign w:val="center"/>
          </w:tcPr>
          <w:p w14:paraId="2B68EF99" w14:textId="567708AA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1. Las medidas para la igualdad de género son el conjunto de acciones y/o actividades transversales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vinculadas a gestión interna y estratégicas, al Plan de Igualdad entre mujeres y hombres, a la Agenda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de Género Gubernamental vigente y a los productos estratégicos definidos en el formulario A1 2021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que realizan los Servicios, y a través de las cuales abordan programas y/o líneas de trabajo orientadas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a contribuir en la disminución de inequidad(es), brecha(s) y/o barrera(as) de género, correspondientes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al ámbito de acción del Servicio.</w:t>
            </w:r>
          </w:p>
          <w:p w14:paraId="27175E4F" w14:textId="00383746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2. El </w:t>
            </w:r>
            <w:proofErr w:type="gram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Jefe</w:t>
            </w:r>
            <w:proofErr w:type="gramEnd"/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 de Servicio deberá comprometer un mínimo de una (1) y un máximo de cinco (5) medidas de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género a implementar en el año t, y especificar un compromiso por cada medida seleccionada. Solo se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podrán seleccionar medidas incluidas en el listado que se señala a continuación, previa opinión técnica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de la Red de Expertos:</w:t>
            </w:r>
          </w:p>
          <w:p w14:paraId="4689D018" w14:textId="062225B6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i. Planificación Estratégica Institucional incorporando perspectiva de género.</w:t>
            </w:r>
          </w:p>
          <w:p w14:paraId="300108EE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Política y/o procedimientos de gestión de personas con perspectiva de género.</w:t>
            </w:r>
          </w:p>
          <w:p w14:paraId="32C04EA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iii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Capacitación a funcionarias/os del Servicio en materia de género nivel básico o avanzado.</w:t>
            </w:r>
          </w:p>
          <w:p w14:paraId="16954ADC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iv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Acciones de Comunicaciones y difusión interna y externa con perspectiva de género.</w:t>
            </w:r>
          </w:p>
          <w:p w14:paraId="7865A1A0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v. Procesos de Provisión de bienes o servicios con perspectiva de género.</w:t>
            </w:r>
          </w:p>
          <w:p w14:paraId="6DF670CE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vi. Políticas y/o Programas públicos elaborados por el Servicio con perspectiva de género.</w:t>
            </w:r>
          </w:p>
          <w:p w14:paraId="22528E7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vii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Legislación/y/o normativas, con perspectiva de género.</w:t>
            </w:r>
          </w:p>
          <w:p w14:paraId="3486CE79" w14:textId="19F5CF65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viii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Estudios, datos y estadísticas con información desagregada por sexo y análisis de género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cuando corresponda.</w:t>
            </w:r>
          </w:p>
          <w:p w14:paraId="32ABBF1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3. Una medida se considerará implementada cuando cuente con la opinión técnica de la Subsecretaría de</w:t>
            </w:r>
          </w:p>
          <w:p w14:paraId="01CDB11E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la Mujer y la Equidad de Género respecto a que dicha medida, contribuye a la disminución de</w:t>
            </w:r>
          </w:p>
          <w:p w14:paraId="4B10796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inequidad(es), brecha(s) y/o barrera(as) de género correspondiente al ámbito de acción del Servicio,</w:t>
            </w:r>
          </w:p>
          <w:p w14:paraId="680B4F69" w14:textId="520D61E5" w:rsidR="00D53492" w:rsidRPr="00E00EB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que se realizó en su totalidad y que cuenta con la documentación de respaldo. </w:t>
            </w:r>
          </w:p>
        </w:tc>
      </w:tr>
    </w:tbl>
    <w:p w14:paraId="552BA72A" w14:textId="77777777" w:rsidR="001426FF" w:rsidRDefault="001426FF"/>
    <w:p w14:paraId="06B8E2AF" w14:textId="77777777" w:rsidR="00CB7B82" w:rsidRDefault="00CB7B82"/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31"/>
        <w:gridCol w:w="1984"/>
        <w:gridCol w:w="1276"/>
        <w:gridCol w:w="851"/>
        <w:gridCol w:w="711"/>
        <w:gridCol w:w="11199"/>
      </w:tblGrid>
      <w:tr w:rsidR="006F75CB" w:rsidRPr="00013B88" w14:paraId="3CE58673" w14:textId="77777777" w:rsidTr="006207CE">
        <w:trPr>
          <w:trHeight w:val="737"/>
          <w:tblHeader/>
          <w:jc w:val="center"/>
        </w:trPr>
        <w:tc>
          <w:tcPr>
            <w:tcW w:w="7219" w:type="dxa"/>
            <w:gridSpan w:val="6"/>
            <w:shd w:val="clear" w:color="auto" w:fill="1F497D" w:themeFill="text2"/>
            <w:vAlign w:val="center"/>
            <w:hideMark/>
          </w:tcPr>
          <w:p w14:paraId="7DDD00AD" w14:textId="7FEA0B0B" w:rsidR="006F75CB" w:rsidRPr="00236F5A" w:rsidRDefault="00A3330C" w:rsidP="002D40ED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lastRenderedPageBreak/>
              <w:br w:type="page"/>
            </w:r>
            <w:r w:rsidR="006F75CB">
              <w:rPr>
                <w:rFonts w:cs="Arial"/>
                <w:b/>
                <w:color w:val="FFFFFF" w:themeColor="background1"/>
                <w:sz w:val="26"/>
                <w:szCs w:val="26"/>
              </w:rPr>
              <w:t>OBJETIVO DE GESTIÓN</w:t>
            </w:r>
          </w:p>
        </w:tc>
        <w:tc>
          <w:tcPr>
            <w:tcW w:w="11199" w:type="dxa"/>
            <w:shd w:val="clear" w:color="auto" w:fill="1F497D" w:themeFill="text2"/>
            <w:vAlign w:val="center"/>
          </w:tcPr>
          <w:p w14:paraId="226FFA64" w14:textId="7E6AB119" w:rsidR="006F75CB" w:rsidRPr="008F195E" w:rsidRDefault="003A1B53" w:rsidP="002D40ED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Eficiencia Institucional (Ponderación: 3</w:t>
            </w:r>
            <w:r w:rsidR="00E00EB4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5</w:t>
            </w: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.00%.)</w:t>
            </w:r>
          </w:p>
        </w:tc>
      </w:tr>
      <w:tr w:rsidR="006F75CB" w:rsidRPr="00013B88" w14:paraId="2ADC4B7B" w14:textId="77777777" w:rsidTr="006207CE">
        <w:trPr>
          <w:trHeight w:val="737"/>
          <w:tblHeader/>
          <w:jc w:val="center"/>
        </w:trPr>
        <w:tc>
          <w:tcPr>
            <w:tcW w:w="566" w:type="dxa"/>
            <w:shd w:val="clear" w:color="auto" w:fill="1F497D" w:themeFill="text2"/>
            <w:vAlign w:val="center"/>
            <w:hideMark/>
          </w:tcPr>
          <w:p w14:paraId="4C63C57D" w14:textId="77777777" w:rsidR="006F75CB" w:rsidRPr="0018468A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  Meta</w:t>
            </w:r>
          </w:p>
        </w:tc>
        <w:tc>
          <w:tcPr>
            <w:tcW w:w="1831" w:type="dxa"/>
            <w:shd w:val="clear" w:color="auto" w:fill="1F497D" w:themeFill="text2"/>
            <w:vAlign w:val="center"/>
            <w:hideMark/>
          </w:tcPr>
          <w:p w14:paraId="2A9C32D7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1984" w:type="dxa"/>
            <w:shd w:val="clear" w:color="auto" w:fill="1F497D" w:themeFill="text2"/>
            <w:vAlign w:val="center"/>
            <w:hideMark/>
          </w:tcPr>
          <w:p w14:paraId="45572132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1276" w:type="dxa"/>
            <w:shd w:val="clear" w:color="auto" w:fill="1F497D" w:themeFill="text2"/>
            <w:vAlign w:val="center"/>
            <w:hideMark/>
          </w:tcPr>
          <w:p w14:paraId="3AA152C2" w14:textId="7E688BDE" w:rsidR="006F75CB" w:rsidRPr="001C66BD" w:rsidRDefault="006F75CB" w:rsidP="00CF2E8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990C2C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59F09CEA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7EC09EF0" w14:textId="7A4A30A6" w:rsidR="006F75CB" w:rsidRPr="001C66BD" w:rsidRDefault="00990C2C" w:rsidP="006F75C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2021</w:t>
            </w:r>
          </w:p>
        </w:tc>
        <w:tc>
          <w:tcPr>
            <w:tcW w:w="711" w:type="dxa"/>
            <w:shd w:val="clear" w:color="auto" w:fill="1F497D" w:themeFill="text2"/>
            <w:vAlign w:val="center"/>
          </w:tcPr>
          <w:p w14:paraId="3E9E4689" w14:textId="77777777" w:rsidR="006F75CB" w:rsidRPr="001C66BD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11199" w:type="dxa"/>
            <w:shd w:val="clear" w:color="auto" w:fill="1F497D" w:themeFill="text2"/>
            <w:vAlign w:val="center"/>
            <w:hideMark/>
          </w:tcPr>
          <w:p w14:paraId="5904DE98" w14:textId="77777777" w:rsidR="006F75CB" w:rsidRPr="001C66BD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3A1B53" w:rsidRPr="00007E1F" w14:paraId="722ED04A" w14:textId="77777777" w:rsidTr="003A1B53">
        <w:trPr>
          <w:cantSplit/>
          <w:trHeight w:val="1731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6048747D" w14:textId="77777777" w:rsidR="003A1B53" w:rsidRPr="007D007C" w:rsidRDefault="003A1B53" w:rsidP="003A1B5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D007C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4BF1D2DB" w14:textId="70A08440" w:rsidR="003A1B53" w:rsidRPr="003A1B53" w:rsidRDefault="003A1B53" w:rsidP="003A1B53">
            <w:pPr>
              <w:rPr>
                <w:rFonts w:ascii="Arial" w:hAnsi="Arial" w:cs="Arial"/>
                <w:szCs w:val="24"/>
              </w:rPr>
            </w:pPr>
            <w:r w:rsidRPr="003A1B53">
              <w:rPr>
                <w:rFonts w:ascii="Arial" w:eastAsia="Arial" w:hAnsi="Arial"/>
                <w:color w:val="000000"/>
                <w:szCs w:val="24"/>
              </w:rPr>
              <w:t>Índice de eficiencia energética.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732FDB8" w14:textId="1C1E10AF" w:rsidR="003A1B53" w:rsidRPr="003A1B53" w:rsidRDefault="003A1B53" w:rsidP="003A1B53">
            <w:pPr>
              <w:rPr>
                <w:rFonts w:ascii="Arial" w:hAnsi="Arial" w:cs="Arial"/>
                <w:szCs w:val="24"/>
              </w:rPr>
            </w:pPr>
            <w:r w:rsidRPr="003A1B53">
              <w:rPr>
                <w:rFonts w:ascii="Arial" w:eastAsia="Arial" w:hAnsi="Arial"/>
                <w:color w:val="000000"/>
                <w:szCs w:val="24"/>
              </w:rPr>
              <w:t xml:space="preserve">Consumo Total de Energía (CTE) en el </w:t>
            </w:r>
            <w:proofErr w:type="gramStart"/>
            <w:r w:rsidRPr="003A1B53">
              <w:rPr>
                <w:rFonts w:ascii="Arial" w:eastAsia="Arial" w:hAnsi="Arial"/>
                <w:color w:val="000000"/>
                <w:szCs w:val="24"/>
              </w:rPr>
              <w:t>año  t</w:t>
            </w:r>
            <w:proofErr w:type="gramEnd"/>
            <w:r w:rsidRPr="003A1B53">
              <w:rPr>
                <w:rFonts w:ascii="Arial" w:eastAsia="Arial" w:hAnsi="Arial"/>
                <w:color w:val="000000"/>
                <w:szCs w:val="24"/>
              </w:rPr>
              <w:t>/Superficie Total (ST) del conjunto de edificaciones utilizadas por el servicio en el año 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3C2D60" w14:textId="77777777" w:rsidR="003A1B53" w:rsidRPr="00592C80" w:rsidRDefault="003A1B53" w:rsidP="003A1B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N/A</w:t>
            </w:r>
            <w:r>
              <w:rPr>
                <w:rStyle w:val="Refdenotaalpie"/>
                <w:rFonts w:ascii="Arial" w:hAnsi="Arial"/>
                <w:color w:val="000000"/>
                <w:szCs w:val="16"/>
              </w:rPr>
              <w:footnoteReference w:id="2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A571D4" w14:textId="598401D7" w:rsidR="003A1B53" w:rsidRPr="007D007C" w:rsidRDefault="000D1916" w:rsidP="003A1B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Mide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30C7D1A" w14:textId="50A6B6CA" w:rsidR="003A1B53" w:rsidRPr="007D007C" w:rsidRDefault="00320F03" w:rsidP="003A1B53">
            <w:pPr>
              <w:jc w:val="center"/>
              <w:rPr>
                <w:rFonts w:ascii="Arial" w:hAnsi="Arial" w:cs="Arial"/>
                <w:szCs w:val="18"/>
              </w:rPr>
            </w:pPr>
            <w:r w:rsidRPr="00320F03">
              <w:rPr>
                <w:rFonts w:ascii="Arial" w:hAnsi="Arial" w:cs="Arial"/>
                <w:szCs w:val="18"/>
              </w:rPr>
              <w:t>kWh/m2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1EE6A61D" w14:textId="03431BE7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1. Se entenderá por CTE (Consumo Total de Energía) los kilowatt- hora (kWh) totales consumidos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todas las fuentes energéticas utilizadas por el Servicio, que cuenten con una lectura efectiva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mediante medidores o </w:t>
            </w:r>
            <w:proofErr w:type="spellStart"/>
            <w:r w:rsidRPr="00431F4D">
              <w:rPr>
                <w:rFonts w:ascii="Arial" w:hAnsi="Arial" w:cs="Arial"/>
                <w:sz w:val="18"/>
                <w:szCs w:val="18"/>
              </w:rPr>
              <w:t>remarcadores</w:t>
            </w:r>
            <w:proofErr w:type="spellEnd"/>
            <w:r w:rsidRPr="00431F4D">
              <w:rPr>
                <w:rFonts w:ascii="Arial" w:hAnsi="Arial" w:cs="Arial"/>
                <w:sz w:val="18"/>
                <w:szCs w:val="18"/>
              </w:rPr>
              <w:t xml:space="preserve"> de uso exclusivo de los inmuebles utilizados por el Servicio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que hayan reportado 12 meses completos en el período de medición.</w:t>
            </w:r>
          </w:p>
          <w:p w14:paraId="5D25DCD7" w14:textId="428F81BE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2. Las fuentes energéticas para considerar en la medición serán la electricidad y el gas natural 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cañería (gas ciudad o gas licuado).</w:t>
            </w:r>
          </w:p>
          <w:p w14:paraId="78DC75CD" w14:textId="28DF81E6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3. Un mes se entenderá completo cuando se haya reportado al menos el 92% de los días de consumo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dentro del mes (debido a posibles diferencias en la fecha de fin de la lectura de una factura con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fecha de inicio de lectura de la siguiente).</w:t>
            </w:r>
          </w:p>
          <w:p w14:paraId="6924FB5A" w14:textId="7C64A0C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 xml:space="preserve">4. Para el cálculo, la conversión a </w:t>
            </w:r>
            <w:proofErr w:type="spellStart"/>
            <w:r w:rsidRPr="00431F4D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431F4D">
              <w:rPr>
                <w:rFonts w:ascii="Arial" w:hAnsi="Arial" w:cs="Arial"/>
                <w:sz w:val="18"/>
                <w:szCs w:val="18"/>
              </w:rPr>
              <w:t xml:space="preserve"> será realizada en la plataforma web </w:t>
            </w:r>
            <w:hyperlink r:id="rId8" w:history="1">
              <w:r w:rsidRPr="00930C6C">
                <w:rPr>
                  <w:rStyle w:val="Hipervnculo"/>
                  <w:rFonts w:ascii="Arial" w:hAnsi="Arial" w:cs="Arial"/>
                  <w:sz w:val="18"/>
                  <w:szCs w:val="18"/>
                </w:rPr>
                <w:t>www.gestionaenergia.cl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que dispondrá la Subsecretaría de Energía.</w:t>
            </w:r>
          </w:p>
          <w:p w14:paraId="005821B5" w14:textId="4147562E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5. Se entenderá por inmueble a toda edificación utilizada por el Servicio, excluyendo bodegas,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estacionamientos y superficies no construidas, independientemente de la condición de propiedad.</w:t>
            </w:r>
          </w:p>
          <w:p w14:paraId="574B8F26" w14:textId="720E80E8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6. La ST (Superficie Total) corresponde a los metros cuadrados construidos del conjunto de inmuebles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que cada Servicio utilice durante el periodo de medición.</w:t>
            </w:r>
          </w:p>
          <w:p w14:paraId="09B73E4A" w14:textId="3EBE66E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7. Cada Servicio, deberá completar y/o actualizar en la plataforma web www.gestionaenergia.cl,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catastro de todos los inmuebles que utiliza detallando su información básica (dirección, número(s)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de rol(es) y superficie),</w:t>
            </w:r>
          </w:p>
          <w:p w14:paraId="7CBFD2C3" w14:textId="2E6F3049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8. Cada Servicio, al 31 de diciembre del año t, deberá haber reportado, en la plataforma web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www.gestionaenergia.cl, sus consumos energéticos de electricidad y gas de 12 meses completos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del período t, para cada uno de los inmuebles del catastro, registrados y utilizados por el Servicio,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tengan </w:t>
            </w:r>
            <w:proofErr w:type="gramStart"/>
            <w:r w:rsidRPr="00431F4D">
              <w:rPr>
                <w:rFonts w:ascii="Arial" w:hAnsi="Arial" w:cs="Arial"/>
                <w:sz w:val="18"/>
                <w:szCs w:val="18"/>
              </w:rPr>
              <w:t>éstos</w:t>
            </w:r>
            <w:proofErr w:type="gramEnd"/>
            <w:r w:rsidRPr="00431F4D">
              <w:rPr>
                <w:rFonts w:ascii="Arial" w:hAnsi="Arial" w:cs="Arial"/>
                <w:sz w:val="18"/>
                <w:szCs w:val="18"/>
              </w:rPr>
              <w:t xml:space="preserve"> medidores compartidos o de uso exclusivo. Se deberá registrar el consumo y cargar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en la plataforma web el documento respectivo donde se verifique dicho consumo, (boleta, 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electrónica, documento de la empresa correspondiente o registro gráfico del </w:t>
            </w:r>
            <w:proofErr w:type="spellStart"/>
            <w:r w:rsidRPr="00431F4D">
              <w:rPr>
                <w:rFonts w:ascii="Arial" w:hAnsi="Arial" w:cs="Arial"/>
                <w:sz w:val="18"/>
                <w:szCs w:val="18"/>
              </w:rPr>
              <w:t>remarcador</w:t>
            </w:r>
            <w:proofErr w:type="spellEnd"/>
            <w:r w:rsidRPr="00431F4D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59EA50D" w14:textId="53ABED4C" w:rsidR="003A1B53" w:rsidRPr="005F6E9A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9. El período de medición del indicador comprenderá desde el mes de noviembre del año t-1 hasta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mes de octubre del año t. </w:t>
            </w:r>
          </w:p>
        </w:tc>
      </w:tr>
      <w:tr w:rsidR="005F6E9A" w:rsidRPr="00007E1F" w14:paraId="251F9792" w14:textId="77777777" w:rsidTr="005F6E9A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579D9D8A" w14:textId="5196AE70" w:rsidR="005F6E9A" w:rsidRPr="007D007C" w:rsidRDefault="005F6E9A" w:rsidP="005F6E9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54B1A74D" w14:textId="6CAE79C3" w:rsidR="005F6E9A" w:rsidRPr="005F6E9A" w:rsidRDefault="005F6E9A" w:rsidP="005F6E9A">
            <w:pPr>
              <w:jc w:val="both"/>
              <w:rPr>
                <w:rFonts w:ascii="Arial" w:hAnsi="Arial" w:cs="Arial"/>
                <w:szCs w:val="24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Concentración del Gasto Subtítulos 22 + 29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E6C0B97" w14:textId="220BC074" w:rsidR="005F6E9A" w:rsidRPr="005F6E9A" w:rsidRDefault="005F6E9A" w:rsidP="005F6E9A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 xml:space="preserve">((Gastos ejecutados de subtítulos 22 y 29 en el segundo semestre del año t + gastos ejecutados de subtítulos 22 y 29 en el cuarto trimestre del año t + gasto ejecutado de subtítulos 22 y 29 en el mes de diciembre del año </w:t>
            </w:r>
            <w:proofErr w:type="gramStart"/>
            <w:r w:rsidRPr="005F6E9A">
              <w:rPr>
                <w:rFonts w:ascii="Arial" w:eastAsia="Arial" w:hAnsi="Arial"/>
                <w:color w:val="000000"/>
                <w:szCs w:val="24"/>
              </w:rPr>
              <w:t>t)/</w:t>
            </w:r>
            <w:proofErr w:type="gramEnd"/>
            <w:r w:rsidRPr="005F6E9A">
              <w:rPr>
                <w:rFonts w:ascii="Arial" w:eastAsia="Arial" w:hAnsi="Arial"/>
                <w:color w:val="000000"/>
                <w:szCs w:val="24"/>
              </w:rPr>
              <w:t>Total de gastos ejecutados de subtítulos 22 y 29 en el año t)*100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0578CB" w14:textId="6306C590" w:rsidR="005F6E9A" w:rsidRPr="00592C80" w:rsidRDefault="005F6E9A" w:rsidP="005F6E9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8988748 / 4993749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F7F4E4" w14:textId="3FA697AC" w:rsidR="005F6E9A" w:rsidRPr="007D007C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180 %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617A8CF1" w14:textId="77777777" w:rsidR="005F6E9A" w:rsidRPr="007D007C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5EA9D652" w14:textId="24ED1D69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1. Los subtítulos 22 (Bienes y Servicios de Consumo) y 29 (Adquisición de Activos No Financieros) se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encuentran definidos en el Decreto N°854 de 2004, del Ministerio de Hacienda, que determina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clasificaciones presupuestarias.</w:t>
            </w:r>
          </w:p>
          <w:p w14:paraId="3AD915F1" w14:textId="385D663F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2. Se entiende por gasto del subtítulo 22, Bienes y Servicios de Consumo, a los gastos por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adquisiciones de bienes de consumo y servicios no personales, necesarios para el cumplimiento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de las funciones y actividades de los organismos del sector público.</w:t>
            </w:r>
          </w:p>
          <w:p w14:paraId="626E3DEC" w14:textId="0F56DAF7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3. Se entiende por gasto del subtítulo 29, Adquisición de Activos No Financieros, los gastos para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formación de capital y compra de activos físicos existentes. No incluye terrenos.</w:t>
            </w:r>
          </w:p>
          <w:p w14:paraId="67805112" w14:textId="7ADD3338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4. Los montos de ejecución presupuestaria del gasto de subtítulos 22 y 29 corresponden a los datos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disponibles en el Sistema de Información para la Gestión Financiera del Estado (SIGFE) de la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Dirección de Presupuestos (DIPRES), en base devengado.</w:t>
            </w:r>
          </w:p>
          <w:p w14:paraId="32DB4D70" w14:textId="6EA3932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5. Registro de cifras en base devengado se refiere al registro de todos los recursos y obligaciones en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el momento que se generen, independientemente de que éstos hayan sido o no pagados.</w:t>
            </w:r>
          </w:p>
          <w:p w14:paraId="3858598E" w14:textId="3D97B39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6. Se entiende por ejecución presupuestaria de subtítulos 22 y 29 en el segundo semestre del año t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 los gastos de subtítulos 22 y 29 ejecutados por la institución, entre el 1 de julio y el 31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diciembre del año t.</w:t>
            </w:r>
          </w:p>
          <w:p w14:paraId="528CC3D6" w14:textId="620FD43A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7. Se entiende por ejecución presupuestaria de subtítulos 22 y 29 en el cuarto trimestre del año t 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los gastos de subtítulos 22 y 29 ejecutados por la institución, entre el 1 de octubre y el 31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diciembre del año t.</w:t>
            </w:r>
          </w:p>
          <w:p w14:paraId="66735BC7" w14:textId="1668164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8. Se entiende por ejecución presupuestaria de subtítulos 22 y 29 en el mes de diciembre del año t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 los gastos de subtítulos 22 y 29 ejecutados por la institución entre el 1 y el 31 de diciembre del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año t.</w:t>
            </w:r>
          </w:p>
          <w:p w14:paraId="508DE57F" w14:textId="6A4B4355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9. Total, de gastos ejecutados de subtítulos 22 y 29 en el año t, corresponde al gasto de subtítulos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22 y 29 ejecutado del 1 de enero al 31 de diciembre del año t.</w:t>
            </w:r>
          </w:p>
          <w:p w14:paraId="00610593" w14:textId="6EAA0A22" w:rsidR="005F6E9A" w:rsidRPr="007D007C" w:rsidRDefault="00431F4D" w:rsidP="00431F4D">
            <w:pPr>
              <w:jc w:val="both"/>
              <w:rPr>
                <w:rFonts w:ascii="Arial" w:hAnsi="Arial" w:cs="Arial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10. Cifras en Miles de $ de cada año.</w:t>
            </w:r>
          </w:p>
        </w:tc>
      </w:tr>
      <w:tr w:rsidR="005F6E9A" w:rsidRPr="00007E1F" w14:paraId="7F8FDF8A" w14:textId="77777777" w:rsidTr="005F6E9A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1EB86FA1" w14:textId="4D7FB322" w:rsidR="005F6E9A" w:rsidRDefault="005F6E9A" w:rsidP="005F6E9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249F332E" w14:textId="102A5CE4" w:rsidR="005F6E9A" w:rsidRPr="005F6E9A" w:rsidRDefault="005F6E9A" w:rsidP="005F6E9A">
            <w:pPr>
              <w:jc w:val="both"/>
              <w:rPr>
                <w:rFonts w:ascii="Arial" w:eastAsia="Arial" w:hAnsi="Arial"/>
                <w:color w:val="000000"/>
                <w:szCs w:val="24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Licitación con dos o menos ofertas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7B2E53" w14:textId="443A4403" w:rsidR="005F6E9A" w:rsidRPr="005F6E9A" w:rsidRDefault="005F6E9A" w:rsidP="005F6E9A">
            <w:pPr>
              <w:jc w:val="both"/>
              <w:rPr>
                <w:rFonts w:ascii="Arial" w:eastAsia="Arial" w:hAnsi="Arial"/>
                <w:color w:val="000000"/>
                <w:szCs w:val="24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 xml:space="preserve">(Número de procesos de licitaciones en las que se cerró la recepción de ofertas el año t con dos o menos oferentes/Número de procesos de licitaciones en las que se cerró la recepción de ofertas el año </w:t>
            </w:r>
            <w:proofErr w:type="gramStart"/>
            <w:r w:rsidRPr="005F6E9A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5F6E9A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ACEBFD" w14:textId="73819A43" w:rsidR="005F6E9A" w:rsidRDefault="005F6E9A" w:rsidP="005F6E9A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13 / 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E6077A" w14:textId="2543A222" w:rsidR="005F6E9A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52 %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49B9A07F" w14:textId="2EAFBB68" w:rsidR="005F6E9A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72D7E368" w14:textId="77777777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1. Licitaciones en las que se cerró la recepción de ofertas, consideran:</w:t>
            </w:r>
          </w:p>
          <w:p w14:paraId="20F9122F" w14:textId="56247D26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a. Todas las licitaciones realizadas en www.mercadopublico.cl, por el organismo público que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reporta, cuya fecha de cierre de recepción de ofertas haya ocurrido durante el año t,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independiente del estado posterior que adopte el mismo proceso de licitación.</w:t>
            </w:r>
          </w:p>
          <w:p w14:paraId="0E3B6447" w14:textId="77777777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b. La totalidad de sus unidades de compra, incluido los Servicios de bienestar, si corresponde.</w:t>
            </w:r>
          </w:p>
          <w:p w14:paraId="1A86B961" w14:textId="6FDABBE4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c. Las “Informadas”, que corresponden a las licitaciones que, no obstante encontrarse excluidas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de la aplicación de la ley N°19.886 en virtud de su artículo 3°, son igualmente informadas 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través del Sistema de Información por aplicación del artículo 21° de la misma.</w:t>
            </w:r>
          </w:p>
          <w:p w14:paraId="54285EEC" w14:textId="4C05DD31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d. Las licitaciones en estado “Revocada”, siempre que dicha revocación se hubiera realizado con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posterioridad al cierre de recepción de las ofertas.</w:t>
            </w:r>
          </w:p>
          <w:p w14:paraId="28589186" w14:textId="59900B39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e. Las licitaciones en estado “Suspendida”, sólo deberá considerarse en el indicador si la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suspensión es ordenada por un Tribunal con posterioridad al cierre de la recepción de ofertas.</w:t>
            </w:r>
          </w:p>
          <w:p w14:paraId="68D37E4B" w14:textId="77777777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 xml:space="preserve">2. Licitaciones en las que se cerró la recepción de ofertas, no considera las </w:t>
            </w:r>
            <w:proofErr w:type="spellStart"/>
            <w:r w:rsidRPr="00727214">
              <w:rPr>
                <w:rFonts w:ascii="Arial" w:hAnsi="Arial" w:cs="Arial"/>
                <w:sz w:val="18"/>
                <w:szCs w:val="16"/>
              </w:rPr>
              <w:t>re-adjudicaciones</w:t>
            </w:r>
            <w:proofErr w:type="spellEnd"/>
            <w:r w:rsidRPr="00727214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6AC0AF85" w14:textId="3FC3AADC" w:rsidR="00727214" w:rsidRPr="00727214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3. Los procesos en los cuales se cerró la recepción de ofertas con dos o menos oferentes, considera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aquellas licitaciones realizadas en www.mercadopublico.cl, cuya fecha de cierre de recepción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ofertas haya ocurrido durante el año t y que no hayan recibido ofertas, esto es, licitaciones en estado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“desierta” por falta de oferentes, y aquellas que hayan recibido 1 o 2 ofertas.</w:t>
            </w:r>
          </w:p>
          <w:p w14:paraId="714F056B" w14:textId="6D7F4280" w:rsidR="005F6E9A" w:rsidRPr="005F6E9A" w:rsidRDefault="00727214" w:rsidP="00727214">
            <w:pPr>
              <w:jc w:val="both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727214">
              <w:rPr>
                <w:rFonts w:ascii="Arial" w:hAnsi="Arial" w:cs="Arial"/>
                <w:sz w:val="18"/>
                <w:szCs w:val="16"/>
              </w:rPr>
              <w:t>4. Operar en el portal de compras públicas www.mercadopublico.cl, según lo establece su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normativa: Ley N°19.886, de Bases Sobre Contratos Administrativos de Suministro y Prestación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214">
              <w:rPr>
                <w:rFonts w:ascii="Arial" w:hAnsi="Arial" w:cs="Arial"/>
                <w:sz w:val="18"/>
                <w:szCs w:val="16"/>
              </w:rPr>
              <w:t>Servicios y su Reglamento.</w:t>
            </w:r>
          </w:p>
        </w:tc>
      </w:tr>
    </w:tbl>
    <w:p w14:paraId="71AB03C3" w14:textId="77777777" w:rsidR="002F0F61" w:rsidRDefault="002F0F61"/>
    <w:p w14:paraId="48BC47BA" w14:textId="77777777" w:rsidR="00AF0D14" w:rsidRDefault="00AF0D14"/>
    <w:p w14:paraId="7A187605" w14:textId="77777777" w:rsidR="008011BC" w:rsidRDefault="008011BC"/>
    <w:p w14:paraId="17749AA6" w14:textId="77777777" w:rsidR="008011BC" w:rsidRDefault="008011BC"/>
    <w:p w14:paraId="6F5D9D75" w14:textId="77777777" w:rsidR="008011BC" w:rsidRDefault="008011BC"/>
    <w:p w14:paraId="756E7275" w14:textId="77777777" w:rsidR="008011BC" w:rsidRDefault="008011BC"/>
    <w:p w14:paraId="2929F482" w14:textId="77777777" w:rsidR="008011BC" w:rsidRDefault="008011BC"/>
    <w:p w14:paraId="4995D866" w14:textId="77777777" w:rsidR="008011BC" w:rsidRDefault="008011BC"/>
    <w:p w14:paraId="149B8B3D" w14:textId="77777777" w:rsidR="008011BC" w:rsidRDefault="008011BC"/>
    <w:p w14:paraId="2E394FE5" w14:textId="77777777" w:rsidR="008011BC" w:rsidRDefault="008011BC"/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31"/>
        <w:gridCol w:w="2276"/>
        <w:gridCol w:w="984"/>
        <w:gridCol w:w="851"/>
        <w:gridCol w:w="711"/>
        <w:gridCol w:w="11199"/>
      </w:tblGrid>
      <w:tr w:rsidR="003A1B53" w:rsidRPr="00013B88" w14:paraId="2655F462" w14:textId="77777777" w:rsidTr="006D5D7C">
        <w:trPr>
          <w:trHeight w:val="737"/>
          <w:tblHeader/>
          <w:jc w:val="center"/>
        </w:trPr>
        <w:tc>
          <w:tcPr>
            <w:tcW w:w="7219" w:type="dxa"/>
            <w:gridSpan w:val="6"/>
            <w:shd w:val="clear" w:color="auto" w:fill="1F497D" w:themeFill="text2"/>
            <w:vAlign w:val="center"/>
            <w:hideMark/>
          </w:tcPr>
          <w:p w14:paraId="6465F28C" w14:textId="77777777" w:rsidR="003A1B53" w:rsidRPr="00236F5A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OBJETIVO DE GESTIÓN</w:t>
            </w:r>
          </w:p>
        </w:tc>
        <w:tc>
          <w:tcPr>
            <w:tcW w:w="11199" w:type="dxa"/>
            <w:shd w:val="clear" w:color="auto" w:fill="1F497D" w:themeFill="text2"/>
            <w:vAlign w:val="center"/>
          </w:tcPr>
          <w:p w14:paraId="3616DE2B" w14:textId="4BABDF5E" w:rsidR="003A1B53" w:rsidRPr="008F195E" w:rsidRDefault="003A1B53" w:rsidP="006D5D7C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 xml:space="preserve">Calidad de Servicio (Ponderación: </w:t>
            </w:r>
            <w:r w:rsidR="005F6E9A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2</w:t>
            </w:r>
            <w:r w:rsidR="00E00EB4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5</w:t>
            </w: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.00%.)</w:t>
            </w:r>
          </w:p>
        </w:tc>
      </w:tr>
      <w:tr w:rsidR="003A1B53" w:rsidRPr="00013B88" w14:paraId="25CDC20A" w14:textId="77777777" w:rsidTr="000D1916">
        <w:trPr>
          <w:trHeight w:val="737"/>
          <w:tblHeader/>
          <w:jc w:val="center"/>
        </w:trPr>
        <w:tc>
          <w:tcPr>
            <w:tcW w:w="566" w:type="dxa"/>
            <w:shd w:val="clear" w:color="auto" w:fill="1F497D" w:themeFill="text2"/>
            <w:vAlign w:val="center"/>
            <w:hideMark/>
          </w:tcPr>
          <w:p w14:paraId="4A8D287F" w14:textId="77777777" w:rsidR="003A1B53" w:rsidRPr="0018468A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proofErr w:type="spellStart"/>
            <w:proofErr w:type="gramStart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</w:t>
            </w:r>
            <w:proofErr w:type="spellEnd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 xml:space="preserve">  Meta</w:t>
            </w:r>
            <w:proofErr w:type="gramEnd"/>
          </w:p>
        </w:tc>
        <w:tc>
          <w:tcPr>
            <w:tcW w:w="1831" w:type="dxa"/>
            <w:shd w:val="clear" w:color="auto" w:fill="1F497D" w:themeFill="text2"/>
            <w:vAlign w:val="center"/>
            <w:hideMark/>
          </w:tcPr>
          <w:p w14:paraId="24576243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2276" w:type="dxa"/>
            <w:shd w:val="clear" w:color="auto" w:fill="1F497D" w:themeFill="text2"/>
            <w:vAlign w:val="center"/>
            <w:hideMark/>
          </w:tcPr>
          <w:p w14:paraId="47615AD0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984" w:type="dxa"/>
            <w:shd w:val="clear" w:color="auto" w:fill="1F497D" w:themeFill="text2"/>
            <w:vAlign w:val="center"/>
            <w:hideMark/>
          </w:tcPr>
          <w:p w14:paraId="7CE5B96C" w14:textId="30EC3BBC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990C2C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1407589A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78DEC2DD" w14:textId="66062FF6" w:rsidR="003A1B53" w:rsidRPr="001C66BD" w:rsidRDefault="00990C2C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2021</w:t>
            </w:r>
          </w:p>
        </w:tc>
        <w:tc>
          <w:tcPr>
            <w:tcW w:w="711" w:type="dxa"/>
            <w:shd w:val="clear" w:color="auto" w:fill="1F497D" w:themeFill="text2"/>
            <w:vAlign w:val="center"/>
          </w:tcPr>
          <w:p w14:paraId="14E69DF6" w14:textId="77777777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11199" w:type="dxa"/>
            <w:shd w:val="clear" w:color="auto" w:fill="1F497D" w:themeFill="text2"/>
            <w:vAlign w:val="center"/>
            <w:hideMark/>
          </w:tcPr>
          <w:p w14:paraId="6E469BA4" w14:textId="77777777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00018F" w:rsidRPr="00007E1F" w14:paraId="1F72DF6B" w14:textId="77777777" w:rsidTr="00CB4964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3200232D" w14:textId="541D18B7" w:rsidR="0000018F" w:rsidRDefault="00335C41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4A523A0E" w14:textId="79E76F8C" w:rsidR="0000018F" w:rsidRPr="0000018F" w:rsidRDefault="0000018F" w:rsidP="00CB4964">
            <w:pPr>
              <w:jc w:val="both"/>
              <w:rPr>
                <w:rFonts w:ascii="Arial" w:eastAsia="Arial" w:hAnsi="Arial"/>
                <w:color w:val="000000"/>
                <w:lang w:val="es-CL"/>
              </w:rPr>
            </w:pPr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solicitudes de acceso a la información pública respondidas en un plazo menor o igual a 15 días hábiles en el año t.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4F8A1A94" w14:textId="3EAF38EF" w:rsidR="0000018F" w:rsidRPr="0000018F" w:rsidRDefault="0000018F" w:rsidP="00CB4964">
            <w:pPr>
              <w:jc w:val="both"/>
              <w:rPr>
                <w:rFonts w:ascii="Arial" w:eastAsia="Arial" w:hAnsi="Arial"/>
                <w:color w:val="000000"/>
              </w:rPr>
            </w:pPr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(</w:t>
            </w:r>
            <w:proofErr w:type="spellStart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Nº</w:t>
            </w:r>
            <w:proofErr w:type="spellEnd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solicitudes de acceso a la información pública respondidas en año t en un plazo menor o igual a 15 días hábiles en año t/</w:t>
            </w:r>
            <w:proofErr w:type="spellStart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Nº</w:t>
            </w:r>
            <w:proofErr w:type="spellEnd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solicitudes de acceso a la información pública respondidas en año </w:t>
            </w:r>
            <w:proofErr w:type="gramStart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00018F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002A8466" w14:textId="532B9AC9" w:rsidR="0000018F" w:rsidRPr="003F4098" w:rsidRDefault="00335C41" w:rsidP="0000018F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188</w:t>
            </w:r>
            <w:r w:rsidR="0000018F">
              <w:rPr>
                <w:rFonts w:ascii="Arial" w:hAnsi="Arial" w:cs="Arial"/>
                <w:bCs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Cs w:val="16"/>
              </w:rPr>
              <w:t>470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25EE5B" w14:textId="6B618148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C3606D5" w14:textId="16A987D1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5F7C47AF" w14:textId="1ADCEB14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66A">
              <w:rPr>
                <w:rFonts w:ascii="Arial" w:hAnsi="Arial" w:cs="Arial"/>
                <w:sz w:val="18"/>
                <w:szCs w:val="18"/>
              </w:rPr>
              <w:t>1. Las solicitudes de acceso a información pública respondidas corresponden a aquellas finalizadas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entre el 1 de enero y el 31 de diciembre del año t, independientemente de cuando hayan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ingresado.</w:t>
            </w:r>
          </w:p>
          <w:p w14:paraId="7C04A1CA" w14:textId="4C280D15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66A">
              <w:rPr>
                <w:rFonts w:ascii="Arial" w:hAnsi="Arial" w:cs="Arial"/>
                <w:sz w:val="18"/>
                <w:szCs w:val="18"/>
              </w:rPr>
              <w:t>2. Las solicitudes de acceso a información pública respondidas corresponden a aquellas en que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respuesta fue entregada, derivada, está a la espera de retiro de la información o fue desistida.</w:t>
            </w:r>
          </w:p>
          <w:p w14:paraId="4C6E35FD" w14:textId="016B891B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66A">
              <w:rPr>
                <w:rFonts w:ascii="Arial" w:hAnsi="Arial" w:cs="Arial"/>
                <w:sz w:val="18"/>
                <w:szCs w:val="18"/>
              </w:rPr>
              <w:t>3. Para efectos de contabilizar los plazos se aplicará el artículo 25 de la Ley N 19.880, que Establece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Bases de los Procedimientos Administrativos que Rigen los Actos de los Órganos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Administración del Estado.</w:t>
            </w:r>
          </w:p>
          <w:p w14:paraId="5FB0DF49" w14:textId="54F509C8" w:rsidR="0000018F" w:rsidRPr="00335C41" w:rsidRDefault="0052566A" w:rsidP="0052566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566A">
              <w:rPr>
                <w:rFonts w:ascii="Arial" w:hAnsi="Arial" w:cs="Arial"/>
                <w:sz w:val="18"/>
                <w:szCs w:val="18"/>
              </w:rPr>
              <w:t>4. Las Instituciones deberán utilizar el “Portal Transparencia Chile”, del Consejo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Transparencia, o en su defecto, establecer una interoperación entre el sistema utilizado por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8"/>
              </w:rPr>
              <w:t>Servicio y el Portal para la Transparencia.</w:t>
            </w:r>
          </w:p>
        </w:tc>
      </w:tr>
      <w:tr w:rsidR="0000018F" w:rsidRPr="00007E1F" w14:paraId="16D57F87" w14:textId="77777777" w:rsidTr="000D1916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45EE82D6" w14:textId="625D8E0F" w:rsidR="0000018F" w:rsidRDefault="00335C41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  <w:p w14:paraId="31D78582" w14:textId="474890F9" w:rsidR="0000018F" w:rsidRPr="007D007C" w:rsidRDefault="0000018F" w:rsidP="0000018F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14:paraId="3429A53E" w14:textId="5F647956" w:rsidR="0000018F" w:rsidRPr="003F4098" w:rsidRDefault="0000018F" w:rsidP="0000018F">
            <w:pPr>
              <w:rPr>
                <w:rFonts w:ascii="Arial" w:hAnsi="Arial" w:cs="Arial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>Porcentaje de reclamos respondidos respecto de los reclamos recibidos en año t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3CB50D45" w14:textId="23D45195" w:rsidR="0000018F" w:rsidRPr="003F4098" w:rsidRDefault="0000018F" w:rsidP="0000018F">
            <w:pPr>
              <w:rPr>
                <w:rFonts w:ascii="Arial" w:hAnsi="Arial" w:cs="Arial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 xml:space="preserve">(Número de reclamos respondidos en año t/Total de reclamos recibidos en año </w:t>
            </w:r>
            <w:proofErr w:type="gramStart"/>
            <w:r w:rsidRPr="003F4098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3F4098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08CAF06E" w14:textId="30884EC7" w:rsidR="0000018F" w:rsidRPr="00592C80" w:rsidRDefault="0000018F" w:rsidP="0000018F">
            <w:pPr>
              <w:jc w:val="center"/>
              <w:rPr>
                <w:rFonts w:ascii="Arial" w:hAnsi="Arial" w:cs="Arial"/>
                <w:bCs/>
                <w:szCs w:val="16"/>
              </w:rPr>
            </w:pPr>
            <w:r w:rsidRPr="003F4098">
              <w:rPr>
                <w:rFonts w:ascii="Arial" w:hAnsi="Arial" w:cs="Arial"/>
                <w:bCs/>
                <w:szCs w:val="16"/>
              </w:rPr>
              <w:t>1</w:t>
            </w:r>
            <w:r w:rsidR="004A6D02">
              <w:rPr>
                <w:rFonts w:ascii="Arial" w:hAnsi="Arial" w:cs="Arial"/>
                <w:bCs/>
                <w:szCs w:val="16"/>
              </w:rPr>
              <w:t>9</w:t>
            </w:r>
            <w:r w:rsidRPr="003F4098">
              <w:rPr>
                <w:rFonts w:ascii="Arial" w:hAnsi="Arial" w:cs="Arial"/>
                <w:bCs/>
                <w:szCs w:val="16"/>
              </w:rPr>
              <w:t xml:space="preserve"> /20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764FB3" w14:textId="3D960572" w:rsidR="0000018F" w:rsidRPr="00592C80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</w:t>
            </w:r>
            <w:r w:rsidR="004A6D02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1DC7885" w14:textId="1A6B4B6F" w:rsidR="0000018F" w:rsidRPr="007D007C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283C8AD3" w14:textId="0F5954C9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1. Se consideran reclamos a aquellas disconformidades que la ciudadanía manifiesta respecto de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las actuaciones, atenciones y productos (bienes y/o servicios) que un órgano público entrega a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través de sus canales de atención.  </w:t>
            </w:r>
          </w:p>
          <w:p w14:paraId="520356A5" w14:textId="0231CA1B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2. Se entiende por reclamos respondidos todos aquellos en los cuales se emite una respuesta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resolutiva por parte del Servicio, una vez analizada la información presentada.  </w:t>
            </w:r>
          </w:p>
          <w:p w14:paraId="12550519" w14:textId="1B765994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3. Se entiende por respuesta resolutiva la que contiene decisiones definitivas que responden a lo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solicitado por el usuario y dan cierre al caso.</w:t>
            </w:r>
          </w:p>
          <w:p w14:paraId="4490C119" w14:textId="7DAB78F5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 xml:space="preserve">4. Total de reclamos recibidos al año t, corresponde a los reclamos </w:t>
            </w:r>
            <w:proofErr w:type="spellStart"/>
            <w:r w:rsidRPr="0052566A">
              <w:rPr>
                <w:rFonts w:ascii="Arial" w:hAnsi="Arial" w:cs="Arial"/>
                <w:sz w:val="18"/>
                <w:szCs w:val="16"/>
              </w:rPr>
              <w:t>recepcionados</w:t>
            </w:r>
            <w:proofErr w:type="spellEnd"/>
            <w:r w:rsidRPr="0052566A">
              <w:rPr>
                <w:rFonts w:ascii="Arial" w:hAnsi="Arial" w:cs="Arial"/>
                <w:sz w:val="18"/>
                <w:szCs w:val="16"/>
              </w:rPr>
              <w:t xml:space="preserve"> por el Servicio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en el año t, incluyendo los reclamos recibidos en años anteriores y no respondidos.</w:t>
            </w:r>
          </w:p>
          <w:p w14:paraId="0DB6DA8F" w14:textId="75E7474E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5. El periodo de medición para los reclamos recibidos considera años anteriores y hasta el 31 de diciembre del año t. El período de medición para los reclamos respondidos considera del 1 de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enero al 31 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>de diciembre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 del año t.</w:t>
            </w:r>
          </w:p>
          <w:p w14:paraId="0142FEA9" w14:textId="7500523E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 xml:space="preserve">6. Se excluyen los reclamos   relacionados con la Ley </w:t>
            </w:r>
            <w:proofErr w:type="spellStart"/>
            <w:r w:rsidRPr="0052566A">
              <w:rPr>
                <w:rFonts w:ascii="Arial" w:hAnsi="Arial" w:cs="Arial"/>
                <w:sz w:val="18"/>
                <w:szCs w:val="16"/>
              </w:rPr>
              <w:t>N°</w:t>
            </w:r>
            <w:proofErr w:type="spellEnd"/>
            <w:r w:rsidRPr="0052566A">
              <w:rPr>
                <w:rFonts w:ascii="Arial" w:hAnsi="Arial" w:cs="Arial"/>
                <w:sz w:val="18"/>
                <w:szCs w:val="16"/>
              </w:rPr>
              <w:t xml:space="preserve"> 20.285 sobre Acceso a la Información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Pública, y con la Ley 19.886 de Bases sobre Contratos Administrativos sobre Contratos de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Suministro y prestación de servicios, y aquellos reclamos derivados a otros servicios por tratarse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de materias que no son de competencia de la institución.</w:t>
            </w:r>
          </w:p>
          <w:p w14:paraId="5DF6C87B" w14:textId="712FF86E" w:rsidR="003B0717" w:rsidRPr="0052566A" w:rsidRDefault="003B0717" w:rsidP="003B071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7. El servicio deberá precisar el ID del reclamo, actuaciones, atenciones y producto (bien y/o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servicio) que aplica, fecha de ingreso del reclamo, fecha de respuesta, </w:t>
            </w:r>
            <w:proofErr w:type="spellStart"/>
            <w:r w:rsidRPr="0052566A">
              <w:rPr>
                <w:rFonts w:ascii="Arial" w:hAnsi="Arial" w:cs="Arial"/>
                <w:sz w:val="18"/>
                <w:szCs w:val="16"/>
              </w:rPr>
              <w:t>N°</w:t>
            </w:r>
            <w:proofErr w:type="spellEnd"/>
            <w:r w:rsidRPr="0052566A">
              <w:rPr>
                <w:rFonts w:ascii="Arial" w:hAnsi="Arial" w:cs="Arial"/>
                <w:sz w:val="18"/>
                <w:szCs w:val="16"/>
              </w:rPr>
              <w:t xml:space="preserve"> de oficio o</w:t>
            </w:r>
            <w:r w:rsidR="00655563" w:rsidRPr="0052566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identificación de la respuesta y estado del reclamo, únicamente con los siguientes estados:</w:t>
            </w:r>
          </w:p>
          <w:p w14:paraId="1E9009D2" w14:textId="585A9489" w:rsidR="0000018F" w:rsidRPr="0052566A" w:rsidRDefault="003B0717" w:rsidP="0000018F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ingresado, en análisis, respondido.</w:t>
            </w:r>
          </w:p>
        </w:tc>
      </w:tr>
      <w:tr w:rsidR="0000018F" w:rsidRPr="00007E1F" w14:paraId="5E85AD97" w14:textId="77777777" w:rsidTr="00F71FA9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236BBD87" w14:textId="719C419D" w:rsidR="0000018F" w:rsidRDefault="00335C41" w:rsidP="0000018F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7752AFF1" w14:textId="7E6D7416" w:rsidR="0000018F" w:rsidRPr="003F4098" w:rsidRDefault="0000018F" w:rsidP="00F71FA9">
            <w:pPr>
              <w:jc w:val="both"/>
              <w:rPr>
                <w:rFonts w:ascii="Arial" w:hAnsi="Arial" w:cs="Arial"/>
              </w:rPr>
            </w:pPr>
            <w:r w:rsidRPr="003F4098">
              <w:rPr>
                <w:rFonts w:ascii="Arial" w:eastAsia="Arial" w:hAnsi="Arial"/>
                <w:color w:val="000000"/>
              </w:rPr>
              <w:t>Porcentaje de trámites digitalizados con registro de transacciones al año t respecto del total de trámites identificados en el Registro Nacional de Trámites del año t-1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3A34B0D4" w14:textId="480B70CB" w:rsidR="0000018F" w:rsidRPr="003F4098" w:rsidRDefault="0000018F" w:rsidP="00F71FA9">
            <w:pPr>
              <w:jc w:val="both"/>
              <w:rPr>
                <w:rFonts w:ascii="Arial" w:hAnsi="Arial" w:cs="Arial"/>
                <w:lang w:val="es-CL"/>
              </w:rPr>
            </w:pPr>
            <w:r w:rsidRPr="003F4098">
              <w:rPr>
                <w:rFonts w:ascii="Arial" w:eastAsia="Arial" w:hAnsi="Arial"/>
                <w:color w:val="000000"/>
              </w:rPr>
              <w:t>(</w:t>
            </w:r>
            <w:proofErr w:type="spellStart"/>
            <w:r w:rsidRPr="003F4098">
              <w:rPr>
                <w:rFonts w:ascii="Arial" w:eastAsia="Arial" w:hAnsi="Arial"/>
                <w:color w:val="000000"/>
              </w:rPr>
              <w:t>N°</w:t>
            </w:r>
            <w:proofErr w:type="spellEnd"/>
            <w:r w:rsidRPr="003F4098">
              <w:rPr>
                <w:rFonts w:ascii="Arial" w:eastAsia="Arial" w:hAnsi="Arial"/>
                <w:color w:val="000000"/>
              </w:rPr>
              <w:t xml:space="preserve"> de trámites digitalizados con registro de transacciones al año t/</w:t>
            </w:r>
            <w:proofErr w:type="spellStart"/>
            <w:r w:rsidRPr="003F4098">
              <w:rPr>
                <w:rFonts w:ascii="Arial" w:eastAsia="Arial" w:hAnsi="Arial"/>
                <w:color w:val="000000"/>
              </w:rPr>
              <w:t>N°</w:t>
            </w:r>
            <w:proofErr w:type="spellEnd"/>
            <w:r w:rsidRPr="003F4098">
              <w:rPr>
                <w:rFonts w:ascii="Arial" w:eastAsia="Arial" w:hAnsi="Arial"/>
                <w:color w:val="000000"/>
              </w:rPr>
              <w:t xml:space="preserve"> total de trámites identificados en el Registro Nacional de Trámites del año t-</w:t>
            </w:r>
            <w:proofErr w:type="gramStart"/>
            <w:r w:rsidRPr="003F4098">
              <w:rPr>
                <w:rFonts w:ascii="Arial" w:eastAsia="Arial" w:hAnsi="Arial"/>
                <w:color w:val="000000"/>
              </w:rPr>
              <w:t>1)*</w:t>
            </w:r>
            <w:proofErr w:type="gramEnd"/>
            <w:r w:rsidRPr="003F4098">
              <w:rPr>
                <w:rFonts w:ascii="Arial" w:eastAsia="Arial" w:hAnsi="Arial"/>
                <w:color w:val="000000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12708DA9" w14:textId="1152F713" w:rsidR="0000018F" w:rsidRDefault="00F71FA9" w:rsidP="0000018F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3 / 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F73B4E" w14:textId="296AD68C" w:rsidR="0000018F" w:rsidRDefault="00F71FA9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61AAC792" w14:textId="79F7E9C4" w:rsidR="0000018F" w:rsidRDefault="0000018F" w:rsidP="0000018F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78F613BF" w14:textId="5CBBEA67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1. Trámite: corresponde a toda acción necesaria para que una persona natural o jurídica acceda a un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producto (bien o servicio) entregado por un órgano de la Administración Central del Estado,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generando un procedimiento que finaliza con la entrega de una respuesta final al solicitante.</w:t>
            </w:r>
          </w:p>
          <w:p w14:paraId="77F2EDCA" w14:textId="4C964593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2. Respuesta final: aquella en virtud de la cual concluye el respectivo trámite al resolver sobre la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entrega del producto que da lugar al mismo, pudiendo ser una respuesta favorable o desfavorable.</w:t>
            </w:r>
          </w:p>
          <w:p w14:paraId="408949C2" w14:textId="316E4DB3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3. Trámites digitalizados: Corresponde a los que se encuentren en los siguientes niveles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digitalización:</w:t>
            </w:r>
          </w:p>
          <w:p w14:paraId="7C2F9037" w14:textId="74CB5791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a. Trámite Nivel 3d digitalizado: aquel que puede ser realizado mayormente mediante el canal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digital, sin embargo, por su naturaleza o requisitos establecidos en la regulación en sentido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estricto (Ley o Decreto) requiere de una etapa presencial. Para estos efectos, el Servicio</w:t>
            </w:r>
          </w:p>
          <w:p w14:paraId="272058D4" w14:textId="5B13A16E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deberá indicar las restricciones que impiden su completa digitalización, con una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interpretación jurídica fundada y firmada por el </w:t>
            </w:r>
            <w:proofErr w:type="gramStart"/>
            <w:r w:rsidRPr="0052566A">
              <w:rPr>
                <w:rFonts w:ascii="Arial" w:hAnsi="Arial" w:cs="Arial"/>
                <w:sz w:val="18"/>
                <w:szCs w:val="16"/>
              </w:rPr>
              <w:t>Jefe</w:t>
            </w:r>
            <w:proofErr w:type="gramEnd"/>
            <w:r w:rsidRPr="0052566A">
              <w:rPr>
                <w:rFonts w:ascii="Arial" w:hAnsi="Arial" w:cs="Arial"/>
                <w:sz w:val="18"/>
                <w:szCs w:val="16"/>
              </w:rPr>
              <w:t xml:space="preserve"> de Servicio.</w:t>
            </w:r>
          </w:p>
          <w:p w14:paraId="55AB00FD" w14:textId="72750914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b. Trámite digitalizado Nivel 4: aquel que puede ser realizado completamente a través del canal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digital.</w:t>
            </w:r>
          </w:p>
          <w:p w14:paraId="0781D1EB" w14:textId="47D0D546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Los trámites se entenderán digitalizados cuando puedan ser verificados a través de una herramienta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analítica web.</w:t>
            </w:r>
          </w:p>
          <w:p w14:paraId="42E798E0" w14:textId="6729846A" w:rsidR="0052566A" w:rsidRPr="0052566A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4. Registro Nacional de Trámites: instrumento oficial que contiene el registro de todos los trámites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la Administración Central del Estado, administrado por SEGPRES.</w:t>
            </w:r>
          </w:p>
          <w:p w14:paraId="6FB71AA2" w14:textId="39C3D7B6" w:rsidR="0000018F" w:rsidRPr="00F71FA9" w:rsidRDefault="0052566A" w:rsidP="0052566A">
            <w:pPr>
              <w:jc w:val="both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5. El Servicio deberá mantener actualizada la información en el Registro Nacional de Trámites, la que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deberá contener al menos la nómina de trámites, su caracterización e información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transacciones, que corresponden a la contabilización de los trámites finalizados por mes y canal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atención disponible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14:paraId="67BAC886" w14:textId="77777777" w:rsidR="008011BC" w:rsidRDefault="008011BC"/>
    <w:p w14:paraId="03ABAFB3" w14:textId="77777777" w:rsidR="003A26E4" w:rsidRDefault="003A26E4"/>
    <w:p w14:paraId="6C801288" w14:textId="77777777" w:rsidR="003A26E4" w:rsidRDefault="003A26E4"/>
    <w:sectPr w:rsidR="003A26E4" w:rsidSect="00CB7B82"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C9A2" w14:textId="77777777" w:rsidR="0051532B" w:rsidRDefault="0051532B" w:rsidP="00B36C93">
      <w:r>
        <w:separator/>
      </w:r>
    </w:p>
  </w:endnote>
  <w:endnote w:type="continuationSeparator" w:id="0">
    <w:p w14:paraId="5EE435AA" w14:textId="77777777" w:rsidR="0051532B" w:rsidRDefault="0051532B" w:rsidP="00B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62511820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0C55F" w14:textId="77777777" w:rsidR="00331D20" w:rsidRPr="00D53289" w:rsidRDefault="00331D20">
            <w:pPr>
              <w:pStyle w:val="Piedepgina"/>
              <w:jc w:val="center"/>
              <w:rPr>
                <w:sz w:val="22"/>
              </w:rPr>
            </w:pPr>
            <w:r w:rsidRPr="00D53289">
              <w:rPr>
                <w:sz w:val="22"/>
              </w:rPr>
              <w:t xml:space="preserve">Página </w:t>
            </w:r>
            <w:r w:rsidRPr="00D53289">
              <w:rPr>
                <w:b/>
                <w:bCs/>
                <w:sz w:val="28"/>
                <w:szCs w:val="24"/>
              </w:rPr>
              <w:fldChar w:fldCharType="begin"/>
            </w:r>
            <w:r w:rsidRPr="00D53289">
              <w:rPr>
                <w:b/>
                <w:bCs/>
                <w:sz w:val="22"/>
              </w:rPr>
              <w:instrText>PAGE</w:instrText>
            </w:r>
            <w:r w:rsidRPr="00D53289">
              <w:rPr>
                <w:b/>
                <w:bCs/>
                <w:sz w:val="28"/>
                <w:szCs w:val="24"/>
              </w:rPr>
              <w:fldChar w:fldCharType="separate"/>
            </w:r>
            <w:r w:rsidR="00044AEE">
              <w:rPr>
                <w:b/>
                <w:bCs/>
                <w:noProof/>
                <w:sz w:val="22"/>
              </w:rPr>
              <w:t>1</w:t>
            </w:r>
            <w:r w:rsidRPr="00D53289">
              <w:rPr>
                <w:b/>
                <w:bCs/>
                <w:sz w:val="28"/>
                <w:szCs w:val="24"/>
              </w:rPr>
              <w:fldChar w:fldCharType="end"/>
            </w:r>
            <w:r w:rsidRPr="00D53289">
              <w:rPr>
                <w:sz w:val="22"/>
              </w:rPr>
              <w:t xml:space="preserve"> de </w:t>
            </w:r>
            <w:r w:rsidRPr="00D53289">
              <w:rPr>
                <w:b/>
                <w:bCs/>
                <w:sz w:val="28"/>
                <w:szCs w:val="24"/>
              </w:rPr>
              <w:fldChar w:fldCharType="begin"/>
            </w:r>
            <w:r w:rsidRPr="00D53289">
              <w:rPr>
                <w:b/>
                <w:bCs/>
                <w:sz w:val="22"/>
              </w:rPr>
              <w:instrText>NUMPAGES</w:instrText>
            </w:r>
            <w:r w:rsidRPr="00D53289">
              <w:rPr>
                <w:b/>
                <w:bCs/>
                <w:sz w:val="28"/>
                <w:szCs w:val="24"/>
              </w:rPr>
              <w:fldChar w:fldCharType="separate"/>
            </w:r>
            <w:r w:rsidR="00044AEE">
              <w:rPr>
                <w:b/>
                <w:bCs/>
                <w:noProof/>
                <w:sz w:val="22"/>
              </w:rPr>
              <w:t>14</w:t>
            </w:r>
            <w:r w:rsidRPr="00D53289">
              <w:rPr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2BB0C3FA" w14:textId="77777777" w:rsidR="00331D20" w:rsidRDefault="00331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4047" w14:textId="77777777" w:rsidR="0051532B" w:rsidRDefault="0051532B" w:rsidP="00B36C93">
      <w:r>
        <w:separator/>
      </w:r>
    </w:p>
  </w:footnote>
  <w:footnote w:type="continuationSeparator" w:id="0">
    <w:p w14:paraId="6C3DA588" w14:textId="77777777" w:rsidR="0051532B" w:rsidRDefault="0051532B" w:rsidP="00B36C93">
      <w:r>
        <w:continuationSeparator/>
      </w:r>
    </w:p>
  </w:footnote>
  <w:footnote w:id="1">
    <w:p w14:paraId="34B2E7B5" w14:textId="77777777" w:rsidR="00331D20" w:rsidRPr="00F81C02" w:rsidRDefault="00331D20">
      <w:pPr>
        <w:pStyle w:val="Textonotapie"/>
        <w:rPr>
          <w:rFonts w:ascii="Arial" w:hAnsi="Arial" w:cs="Arial"/>
        </w:rPr>
      </w:pPr>
      <w:r w:rsidRPr="00F81C02">
        <w:rPr>
          <w:rStyle w:val="Refdenotaalpie"/>
          <w:rFonts w:ascii="Arial" w:hAnsi="Arial" w:cs="Arial"/>
        </w:rPr>
        <w:footnoteRef/>
      </w:r>
      <w:r w:rsidRPr="00F81C02">
        <w:rPr>
          <w:rFonts w:ascii="Arial" w:hAnsi="Arial" w:cs="Arial"/>
        </w:rPr>
        <w:t xml:space="preserve"> </w:t>
      </w:r>
      <w:r w:rsidRPr="00902720">
        <w:rPr>
          <w:rFonts w:ascii="Arial" w:hAnsi="Arial" w:cs="Arial"/>
          <w:sz w:val="16"/>
          <w:szCs w:val="16"/>
          <w:lang w:val="es-MX"/>
        </w:rPr>
        <w:t>Los datos (numerador / denominador) señalados en la columna</w:t>
      </w:r>
      <w:r>
        <w:rPr>
          <w:rFonts w:ascii="Arial" w:hAnsi="Arial" w:cs="Arial"/>
          <w:sz w:val="16"/>
          <w:szCs w:val="16"/>
          <w:lang w:val="es-MX"/>
        </w:rPr>
        <w:t xml:space="preserve"> respectiva</w:t>
      </w:r>
      <w:r w:rsidRPr="00902720">
        <w:rPr>
          <w:rFonts w:ascii="Arial" w:hAnsi="Arial" w:cs="Arial"/>
          <w:sz w:val="16"/>
          <w:szCs w:val="16"/>
          <w:lang w:val="es-MX"/>
        </w:rPr>
        <w:t>, son estimaciones referenciales calculadas en base a datos históricos que no necesariamente se repetirán en el futuro, por lo cual los numeradores y denominadores efectivos pueden terminar siendo mayores o menores.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902720">
        <w:rPr>
          <w:rFonts w:ascii="Arial" w:hAnsi="Arial" w:cs="Arial"/>
          <w:sz w:val="16"/>
          <w:szCs w:val="16"/>
          <w:lang w:val="es-MX"/>
        </w:rPr>
        <w:t>El cumplimie</w:t>
      </w:r>
      <w:r>
        <w:rPr>
          <w:rFonts w:ascii="Arial" w:hAnsi="Arial" w:cs="Arial"/>
          <w:sz w:val="16"/>
          <w:szCs w:val="16"/>
          <w:lang w:val="es-MX"/>
        </w:rPr>
        <w:t>nto de la meta se encuentra dado</w:t>
      </w:r>
      <w:r w:rsidRPr="00902720">
        <w:rPr>
          <w:rFonts w:ascii="Arial" w:hAnsi="Arial" w:cs="Arial"/>
          <w:sz w:val="16"/>
          <w:szCs w:val="16"/>
          <w:lang w:val="es-MX"/>
        </w:rPr>
        <w:t xml:space="preserve"> por la meta porcentual.</w:t>
      </w:r>
    </w:p>
  </w:footnote>
  <w:footnote w:id="2">
    <w:p w14:paraId="4E6FD455" w14:textId="3FD9DF37" w:rsidR="003A1B53" w:rsidRPr="00F54712" w:rsidRDefault="003A1B53" w:rsidP="00945966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F54712">
        <w:rPr>
          <w:rStyle w:val="Refdenotaalpie"/>
          <w:rFonts w:ascii="Arial" w:hAnsi="Arial" w:cs="Arial"/>
          <w:sz w:val="16"/>
          <w:szCs w:val="16"/>
        </w:rPr>
        <w:footnoteRef/>
      </w:r>
      <w:r w:rsidRPr="00F54712">
        <w:rPr>
          <w:rFonts w:ascii="Arial" w:hAnsi="Arial" w:cs="Arial"/>
          <w:sz w:val="16"/>
          <w:szCs w:val="16"/>
        </w:rPr>
        <w:t xml:space="preserve"> </w:t>
      </w:r>
      <w:r w:rsidRPr="00F54712">
        <w:rPr>
          <w:rFonts w:ascii="Arial" w:hAnsi="Arial" w:cs="Arial"/>
          <w:sz w:val="16"/>
          <w:szCs w:val="16"/>
          <w:lang w:val="es-CL"/>
        </w:rPr>
        <w:t>No Aplica</w:t>
      </w:r>
      <w:r w:rsidR="006173ED">
        <w:rPr>
          <w:rFonts w:ascii="Arial" w:hAnsi="Arial" w:cs="Arial"/>
          <w:sz w:val="16"/>
          <w:szCs w:val="16"/>
          <w:lang w:val="es-CL"/>
        </w:rPr>
        <w:t>. El compromiso</w:t>
      </w:r>
      <w:r w:rsidRPr="00F54712">
        <w:rPr>
          <w:rFonts w:ascii="Arial" w:hAnsi="Arial" w:cs="Arial"/>
          <w:sz w:val="16"/>
          <w:szCs w:val="16"/>
          <w:lang w:val="es-CL"/>
        </w:rPr>
        <w:t xml:space="preserve"> consiste en medir e informar correctamente los datos efectivos, los cuales no tienen una meta asociada.</w:t>
      </w:r>
    </w:p>
    <w:p w14:paraId="3331A8F5" w14:textId="77777777" w:rsidR="003A1B53" w:rsidRPr="00CF2E8C" w:rsidRDefault="003A1B53">
      <w:pPr>
        <w:pStyle w:val="Textonota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81C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A3B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2F3C"/>
    <w:multiLevelType w:val="multilevel"/>
    <w:tmpl w:val="DA822EA0"/>
    <w:lvl w:ilvl="0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D231E2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8BB"/>
    <w:multiLevelType w:val="hybridMultilevel"/>
    <w:tmpl w:val="B2469F36"/>
    <w:lvl w:ilvl="0" w:tplc="DD165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7F8E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902"/>
    <w:multiLevelType w:val="hybridMultilevel"/>
    <w:tmpl w:val="E6BC4AAC"/>
    <w:lvl w:ilvl="0" w:tplc="A712D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DD5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9CE"/>
    <w:multiLevelType w:val="hybridMultilevel"/>
    <w:tmpl w:val="3F5865F2"/>
    <w:lvl w:ilvl="0" w:tplc="74E0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04AF"/>
    <w:multiLevelType w:val="hybridMultilevel"/>
    <w:tmpl w:val="312CDA0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24C81"/>
    <w:multiLevelType w:val="multilevel"/>
    <w:tmpl w:val="B63E0320"/>
    <w:lvl w:ilvl="0">
      <w:start w:val="1"/>
      <w:numFmt w:val="upperRoman"/>
      <w:lvlText w:val="%1."/>
      <w:lvlJc w:val="left"/>
      <w:pPr>
        <w:tabs>
          <w:tab w:val="num" w:pos="69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i w:val="0"/>
        <w:color w:val="auto"/>
        <w:sz w:val="16"/>
        <w:szCs w:val="16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E794C41"/>
    <w:multiLevelType w:val="hybridMultilevel"/>
    <w:tmpl w:val="32369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A01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1B89"/>
    <w:multiLevelType w:val="multilevel"/>
    <w:tmpl w:val="1FAEA774"/>
    <w:lvl w:ilvl="0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EB2EB2"/>
    <w:multiLevelType w:val="hybridMultilevel"/>
    <w:tmpl w:val="3186458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A6FCC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2421"/>
    <w:multiLevelType w:val="hybridMultilevel"/>
    <w:tmpl w:val="162294D4"/>
    <w:lvl w:ilvl="0" w:tplc="F60834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BA0"/>
    <w:multiLevelType w:val="hybridMultilevel"/>
    <w:tmpl w:val="B178F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2"/>
    <w:rsid w:val="0000018F"/>
    <w:rsid w:val="0000427A"/>
    <w:rsid w:val="0000576C"/>
    <w:rsid w:val="000063BF"/>
    <w:rsid w:val="0001009D"/>
    <w:rsid w:val="00011FAB"/>
    <w:rsid w:val="00013DFB"/>
    <w:rsid w:val="0002548E"/>
    <w:rsid w:val="0002610F"/>
    <w:rsid w:val="00031549"/>
    <w:rsid w:val="00044AEE"/>
    <w:rsid w:val="000450C4"/>
    <w:rsid w:val="0004570F"/>
    <w:rsid w:val="000470D8"/>
    <w:rsid w:val="000473DB"/>
    <w:rsid w:val="00054950"/>
    <w:rsid w:val="00055A4C"/>
    <w:rsid w:val="00055D33"/>
    <w:rsid w:val="00057F7D"/>
    <w:rsid w:val="000649E7"/>
    <w:rsid w:val="000709B5"/>
    <w:rsid w:val="00086F84"/>
    <w:rsid w:val="00097F47"/>
    <w:rsid w:val="000A5EF6"/>
    <w:rsid w:val="000B4B24"/>
    <w:rsid w:val="000C3EA7"/>
    <w:rsid w:val="000C401C"/>
    <w:rsid w:val="000D1916"/>
    <w:rsid w:val="000D3021"/>
    <w:rsid w:val="000D7233"/>
    <w:rsid w:val="000F58A4"/>
    <w:rsid w:val="001004B2"/>
    <w:rsid w:val="00101AB7"/>
    <w:rsid w:val="00103C42"/>
    <w:rsid w:val="00104CE0"/>
    <w:rsid w:val="00120621"/>
    <w:rsid w:val="00130AD8"/>
    <w:rsid w:val="00136B58"/>
    <w:rsid w:val="00140AE3"/>
    <w:rsid w:val="001426FF"/>
    <w:rsid w:val="00156C0A"/>
    <w:rsid w:val="00156EB0"/>
    <w:rsid w:val="00185AEB"/>
    <w:rsid w:val="00192BDF"/>
    <w:rsid w:val="0019695D"/>
    <w:rsid w:val="00197746"/>
    <w:rsid w:val="001D1093"/>
    <w:rsid w:val="001E3331"/>
    <w:rsid w:val="001E5727"/>
    <w:rsid w:val="001E6BE0"/>
    <w:rsid w:val="001F1B37"/>
    <w:rsid w:val="001F4643"/>
    <w:rsid w:val="001F578C"/>
    <w:rsid w:val="001F6D1C"/>
    <w:rsid w:val="002223B4"/>
    <w:rsid w:val="0023272C"/>
    <w:rsid w:val="002340FA"/>
    <w:rsid w:val="00234986"/>
    <w:rsid w:val="00242FE2"/>
    <w:rsid w:val="00245E28"/>
    <w:rsid w:val="002558A6"/>
    <w:rsid w:val="00267394"/>
    <w:rsid w:val="00274FA0"/>
    <w:rsid w:val="00285CE3"/>
    <w:rsid w:val="00286094"/>
    <w:rsid w:val="00293334"/>
    <w:rsid w:val="002A1145"/>
    <w:rsid w:val="002C0030"/>
    <w:rsid w:val="002C0A34"/>
    <w:rsid w:val="002C5D4D"/>
    <w:rsid w:val="002D40ED"/>
    <w:rsid w:val="002F0F61"/>
    <w:rsid w:val="002F55F7"/>
    <w:rsid w:val="002F75FE"/>
    <w:rsid w:val="003016C0"/>
    <w:rsid w:val="00305DA2"/>
    <w:rsid w:val="00314873"/>
    <w:rsid w:val="00320F03"/>
    <w:rsid w:val="00324581"/>
    <w:rsid w:val="00331D20"/>
    <w:rsid w:val="00335C41"/>
    <w:rsid w:val="00350755"/>
    <w:rsid w:val="00354EA1"/>
    <w:rsid w:val="003566C0"/>
    <w:rsid w:val="0036345D"/>
    <w:rsid w:val="00366FA9"/>
    <w:rsid w:val="003769A9"/>
    <w:rsid w:val="00376C1D"/>
    <w:rsid w:val="00382F6A"/>
    <w:rsid w:val="00393414"/>
    <w:rsid w:val="00395E36"/>
    <w:rsid w:val="003963F0"/>
    <w:rsid w:val="003A098F"/>
    <w:rsid w:val="003A120A"/>
    <w:rsid w:val="003A1B53"/>
    <w:rsid w:val="003A2019"/>
    <w:rsid w:val="003A26E4"/>
    <w:rsid w:val="003B0717"/>
    <w:rsid w:val="003B3895"/>
    <w:rsid w:val="003D0138"/>
    <w:rsid w:val="003E3B2D"/>
    <w:rsid w:val="003E4B8F"/>
    <w:rsid w:val="003E6E98"/>
    <w:rsid w:val="003F3F5C"/>
    <w:rsid w:val="003F4098"/>
    <w:rsid w:val="003F791A"/>
    <w:rsid w:val="0040247C"/>
    <w:rsid w:val="004104C3"/>
    <w:rsid w:val="00413DA0"/>
    <w:rsid w:val="004175D8"/>
    <w:rsid w:val="00425526"/>
    <w:rsid w:val="00431F4D"/>
    <w:rsid w:val="004441C8"/>
    <w:rsid w:val="00447837"/>
    <w:rsid w:val="00453B58"/>
    <w:rsid w:val="00461DBD"/>
    <w:rsid w:val="00471834"/>
    <w:rsid w:val="00472543"/>
    <w:rsid w:val="00475433"/>
    <w:rsid w:val="00477B16"/>
    <w:rsid w:val="004812EF"/>
    <w:rsid w:val="00490393"/>
    <w:rsid w:val="00490DA1"/>
    <w:rsid w:val="00493ED0"/>
    <w:rsid w:val="00495422"/>
    <w:rsid w:val="004A3100"/>
    <w:rsid w:val="004A64E8"/>
    <w:rsid w:val="004A6D02"/>
    <w:rsid w:val="004B6832"/>
    <w:rsid w:val="004C127D"/>
    <w:rsid w:val="004D2DD6"/>
    <w:rsid w:val="004D4599"/>
    <w:rsid w:val="00501D9D"/>
    <w:rsid w:val="00504AF5"/>
    <w:rsid w:val="005151D3"/>
    <w:rsid w:val="0051532B"/>
    <w:rsid w:val="0052566A"/>
    <w:rsid w:val="00537D6C"/>
    <w:rsid w:val="00545635"/>
    <w:rsid w:val="005631B8"/>
    <w:rsid w:val="00564E5C"/>
    <w:rsid w:val="00576F13"/>
    <w:rsid w:val="00581637"/>
    <w:rsid w:val="00587F79"/>
    <w:rsid w:val="0059036B"/>
    <w:rsid w:val="005926F1"/>
    <w:rsid w:val="00592C80"/>
    <w:rsid w:val="005951D5"/>
    <w:rsid w:val="005C6AF9"/>
    <w:rsid w:val="005C75A0"/>
    <w:rsid w:val="005E447B"/>
    <w:rsid w:val="005F6E9A"/>
    <w:rsid w:val="00611F41"/>
    <w:rsid w:val="0061201E"/>
    <w:rsid w:val="00614E56"/>
    <w:rsid w:val="006173ED"/>
    <w:rsid w:val="00617EE0"/>
    <w:rsid w:val="0062065F"/>
    <w:rsid w:val="006207CE"/>
    <w:rsid w:val="00627E69"/>
    <w:rsid w:val="00635FBA"/>
    <w:rsid w:val="00655563"/>
    <w:rsid w:val="00656B60"/>
    <w:rsid w:val="0066376C"/>
    <w:rsid w:val="00665752"/>
    <w:rsid w:val="00667E62"/>
    <w:rsid w:val="00673AD7"/>
    <w:rsid w:val="00675758"/>
    <w:rsid w:val="00692F5E"/>
    <w:rsid w:val="006933AE"/>
    <w:rsid w:val="00696A00"/>
    <w:rsid w:val="00697A89"/>
    <w:rsid w:val="006A1E34"/>
    <w:rsid w:val="006A236B"/>
    <w:rsid w:val="006A48DF"/>
    <w:rsid w:val="006A4AFD"/>
    <w:rsid w:val="006B460A"/>
    <w:rsid w:val="006C27E5"/>
    <w:rsid w:val="006C6CD4"/>
    <w:rsid w:val="006D3693"/>
    <w:rsid w:val="006D6A84"/>
    <w:rsid w:val="006D7A7A"/>
    <w:rsid w:val="006E17CF"/>
    <w:rsid w:val="006E43C1"/>
    <w:rsid w:val="006E6654"/>
    <w:rsid w:val="006F75CB"/>
    <w:rsid w:val="0070093C"/>
    <w:rsid w:val="00711F4A"/>
    <w:rsid w:val="00715120"/>
    <w:rsid w:val="00715E0F"/>
    <w:rsid w:val="0072173C"/>
    <w:rsid w:val="00724499"/>
    <w:rsid w:val="00724B34"/>
    <w:rsid w:val="00727214"/>
    <w:rsid w:val="00732B2B"/>
    <w:rsid w:val="00742DCC"/>
    <w:rsid w:val="00746932"/>
    <w:rsid w:val="007514AD"/>
    <w:rsid w:val="007522D0"/>
    <w:rsid w:val="00757561"/>
    <w:rsid w:val="00760CC3"/>
    <w:rsid w:val="00775D99"/>
    <w:rsid w:val="00780389"/>
    <w:rsid w:val="007837B1"/>
    <w:rsid w:val="00784771"/>
    <w:rsid w:val="007972D4"/>
    <w:rsid w:val="007A1AAD"/>
    <w:rsid w:val="007B1421"/>
    <w:rsid w:val="007C05B0"/>
    <w:rsid w:val="007C7186"/>
    <w:rsid w:val="007D0CF3"/>
    <w:rsid w:val="007D6218"/>
    <w:rsid w:val="007F7B6C"/>
    <w:rsid w:val="008011BC"/>
    <w:rsid w:val="00805984"/>
    <w:rsid w:val="0080708D"/>
    <w:rsid w:val="00817603"/>
    <w:rsid w:val="00820362"/>
    <w:rsid w:val="00824D60"/>
    <w:rsid w:val="0083075A"/>
    <w:rsid w:val="00837328"/>
    <w:rsid w:val="00845299"/>
    <w:rsid w:val="00850046"/>
    <w:rsid w:val="00851716"/>
    <w:rsid w:val="00857BAB"/>
    <w:rsid w:val="00860DE5"/>
    <w:rsid w:val="00864154"/>
    <w:rsid w:val="00867803"/>
    <w:rsid w:val="008D4804"/>
    <w:rsid w:val="008D5142"/>
    <w:rsid w:val="008D6416"/>
    <w:rsid w:val="008F195E"/>
    <w:rsid w:val="008F52B9"/>
    <w:rsid w:val="009015A3"/>
    <w:rsid w:val="00902A97"/>
    <w:rsid w:val="00903F5E"/>
    <w:rsid w:val="00905883"/>
    <w:rsid w:val="00912DBF"/>
    <w:rsid w:val="00927EC6"/>
    <w:rsid w:val="00934AB1"/>
    <w:rsid w:val="009435DF"/>
    <w:rsid w:val="00945966"/>
    <w:rsid w:val="00946828"/>
    <w:rsid w:val="00951AA1"/>
    <w:rsid w:val="00954B0E"/>
    <w:rsid w:val="00964589"/>
    <w:rsid w:val="00967F91"/>
    <w:rsid w:val="00980BD1"/>
    <w:rsid w:val="00984EC9"/>
    <w:rsid w:val="00986404"/>
    <w:rsid w:val="00990C2C"/>
    <w:rsid w:val="00994FEF"/>
    <w:rsid w:val="00995415"/>
    <w:rsid w:val="009A5FA5"/>
    <w:rsid w:val="009D1E41"/>
    <w:rsid w:val="009F20D7"/>
    <w:rsid w:val="00A0335C"/>
    <w:rsid w:val="00A12D38"/>
    <w:rsid w:val="00A13B12"/>
    <w:rsid w:val="00A3330C"/>
    <w:rsid w:val="00A46D0C"/>
    <w:rsid w:val="00A545B6"/>
    <w:rsid w:val="00A60614"/>
    <w:rsid w:val="00AA71A8"/>
    <w:rsid w:val="00AB13F0"/>
    <w:rsid w:val="00AB4B07"/>
    <w:rsid w:val="00AB5C4B"/>
    <w:rsid w:val="00AD5E24"/>
    <w:rsid w:val="00AF0D14"/>
    <w:rsid w:val="00B06BD0"/>
    <w:rsid w:val="00B076A3"/>
    <w:rsid w:val="00B163BE"/>
    <w:rsid w:val="00B21601"/>
    <w:rsid w:val="00B36C93"/>
    <w:rsid w:val="00B461FB"/>
    <w:rsid w:val="00B54460"/>
    <w:rsid w:val="00B64DEE"/>
    <w:rsid w:val="00B72EC4"/>
    <w:rsid w:val="00B77B60"/>
    <w:rsid w:val="00B91440"/>
    <w:rsid w:val="00B93273"/>
    <w:rsid w:val="00BC462E"/>
    <w:rsid w:val="00BD2D91"/>
    <w:rsid w:val="00BD711D"/>
    <w:rsid w:val="00BE2EF0"/>
    <w:rsid w:val="00BE5F98"/>
    <w:rsid w:val="00BF67BA"/>
    <w:rsid w:val="00C130DF"/>
    <w:rsid w:val="00C1582D"/>
    <w:rsid w:val="00C32695"/>
    <w:rsid w:val="00C57C1E"/>
    <w:rsid w:val="00C84AFB"/>
    <w:rsid w:val="00C941B1"/>
    <w:rsid w:val="00CA09D2"/>
    <w:rsid w:val="00CA18F9"/>
    <w:rsid w:val="00CA451C"/>
    <w:rsid w:val="00CB4964"/>
    <w:rsid w:val="00CB7B82"/>
    <w:rsid w:val="00CC4657"/>
    <w:rsid w:val="00CC565B"/>
    <w:rsid w:val="00CD251A"/>
    <w:rsid w:val="00CD3110"/>
    <w:rsid w:val="00CE2687"/>
    <w:rsid w:val="00CF2E8C"/>
    <w:rsid w:val="00D01187"/>
    <w:rsid w:val="00D12CAA"/>
    <w:rsid w:val="00D15A29"/>
    <w:rsid w:val="00D16BC0"/>
    <w:rsid w:val="00D33557"/>
    <w:rsid w:val="00D35CD1"/>
    <w:rsid w:val="00D438DA"/>
    <w:rsid w:val="00D51CFC"/>
    <w:rsid w:val="00D53289"/>
    <w:rsid w:val="00D53492"/>
    <w:rsid w:val="00D538A8"/>
    <w:rsid w:val="00D80076"/>
    <w:rsid w:val="00D8430D"/>
    <w:rsid w:val="00D92E51"/>
    <w:rsid w:val="00DA546F"/>
    <w:rsid w:val="00DA5BD1"/>
    <w:rsid w:val="00DB4E38"/>
    <w:rsid w:val="00DC0574"/>
    <w:rsid w:val="00DC0703"/>
    <w:rsid w:val="00DF3E44"/>
    <w:rsid w:val="00E00EB4"/>
    <w:rsid w:val="00E04AA8"/>
    <w:rsid w:val="00E27E27"/>
    <w:rsid w:val="00E3427D"/>
    <w:rsid w:val="00E44844"/>
    <w:rsid w:val="00E45815"/>
    <w:rsid w:val="00E52BD4"/>
    <w:rsid w:val="00E61CF1"/>
    <w:rsid w:val="00E6356A"/>
    <w:rsid w:val="00E63C72"/>
    <w:rsid w:val="00E72909"/>
    <w:rsid w:val="00E73C2B"/>
    <w:rsid w:val="00E8024E"/>
    <w:rsid w:val="00E81BD2"/>
    <w:rsid w:val="00E862A5"/>
    <w:rsid w:val="00E87250"/>
    <w:rsid w:val="00EA190F"/>
    <w:rsid w:val="00EA537C"/>
    <w:rsid w:val="00EB26CA"/>
    <w:rsid w:val="00ED2280"/>
    <w:rsid w:val="00ED34EE"/>
    <w:rsid w:val="00ED4EDE"/>
    <w:rsid w:val="00ED727A"/>
    <w:rsid w:val="00EE1572"/>
    <w:rsid w:val="00F05FC3"/>
    <w:rsid w:val="00F07984"/>
    <w:rsid w:val="00F1155D"/>
    <w:rsid w:val="00F13E33"/>
    <w:rsid w:val="00F15190"/>
    <w:rsid w:val="00F2116A"/>
    <w:rsid w:val="00F40FB4"/>
    <w:rsid w:val="00F44098"/>
    <w:rsid w:val="00F47DE7"/>
    <w:rsid w:val="00F500EB"/>
    <w:rsid w:val="00F52009"/>
    <w:rsid w:val="00F54712"/>
    <w:rsid w:val="00F7185B"/>
    <w:rsid w:val="00F71FA9"/>
    <w:rsid w:val="00F81C02"/>
    <w:rsid w:val="00F836F9"/>
    <w:rsid w:val="00FA0C69"/>
    <w:rsid w:val="00FB53E3"/>
    <w:rsid w:val="00FC32E2"/>
    <w:rsid w:val="00FC396E"/>
    <w:rsid w:val="00FC545D"/>
    <w:rsid w:val="00FD074D"/>
    <w:rsid w:val="00FD7F46"/>
    <w:rsid w:val="00FE01AD"/>
    <w:rsid w:val="00FE2C85"/>
    <w:rsid w:val="00FF1897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7F07"/>
  <w15:docId w15:val="{6961976A-F935-4A11-AAA6-AAFDE6D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8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CB7B82"/>
    <w:pPr>
      <w:keepNext/>
      <w:jc w:val="center"/>
      <w:outlineLvl w:val="0"/>
    </w:pPr>
    <w:rPr>
      <w:b/>
      <w:smallCaps/>
      <w:sz w:val="28"/>
      <w:szCs w:val="22"/>
    </w:rPr>
  </w:style>
  <w:style w:type="paragraph" w:styleId="Ttulo3">
    <w:name w:val="heading 3"/>
    <w:basedOn w:val="Normal"/>
    <w:next w:val="Normal"/>
    <w:link w:val="Ttulo3Car"/>
    <w:qFormat/>
    <w:rsid w:val="00CB7B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7B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B7B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B7B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B7B8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B7B8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CB7B8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CB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B7B82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7B82"/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7B82"/>
    <w:rPr>
      <w:rFonts w:ascii="Arial Narrow" w:eastAsia="Times New Roman" w:hAnsi="Arial Narrow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7B82"/>
    <w:rPr>
      <w:rFonts w:ascii="Arial Narrow" w:eastAsia="Times New Roman" w:hAnsi="Arial Narrow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7B8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7B8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7B82"/>
    <w:rPr>
      <w:rFonts w:ascii="Arial" w:eastAsia="Times New Roman" w:hAnsi="Arial" w:cs="Times New Roman"/>
      <w:lang w:val="es-ES" w:eastAsia="es-ES"/>
    </w:rPr>
  </w:style>
  <w:style w:type="character" w:customStyle="1" w:styleId="Ttulo1Car1">
    <w:name w:val="Título 1 Car1"/>
    <w:link w:val="Ttulo1"/>
    <w:locked/>
    <w:rsid w:val="00CB7B82"/>
    <w:rPr>
      <w:rFonts w:ascii="Arial Narrow" w:eastAsia="Times New Roman" w:hAnsi="Arial Narrow" w:cs="Times New Roman"/>
      <w:b/>
      <w:smallCaps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B7B82"/>
    <w:pPr>
      <w:ind w:left="720"/>
      <w:contextualSpacing/>
    </w:pPr>
  </w:style>
  <w:style w:type="character" w:styleId="Hipervnculo">
    <w:name w:val="Hyperlink"/>
    <w:uiPriority w:val="99"/>
    <w:rsid w:val="00CB7B82"/>
    <w:rPr>
      <w:rFonts w:cs="Times New Roman"/>
      <w:color w:val="0000FF"/>
      <w:u w:val="single"/>
    </w:rPr>
  </w:style>
  <w:style w:type="paragraph" w:customStyle="1" w:styleId="Default">
    <w:name w:val="Default"/>
    <w:rsid w:val="00927EC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rsid w:val="00B36C93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B36C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36C93"/>
    <w:rPr>
      <w:rFonts w:cs="Times New Roman"/>
      <w:vertAlign w:val="superscript"/>
    </w:rPr>
  </w:style>
  <w:style w:type="paragraph" w:styleId="Sinespaciado">
    <w:name w:val="No Spacing"/>
    <w:uiPriority w:val="1"/>
    <w:qFormat/>
    <w:rsid w:val="00B6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32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28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32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28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2065F"/>
    <w:pPr>
      <w:spacing w:after="20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065F"/>
    <w:rPr>
      <w:rFonts w:eastAsiaTheme="minorEastAsia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C0"/>
    <w:pPr>
      <w:spacing w:after="0"/>
    </w:pPr>
    <w:rPr>
      <w:rFonts w:ascii="Arial Narrow" w:eastAsia="Times New Roman" w:hAnsi="Arial Narrow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C0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C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ormaltextrun">
    <w:name w:val="normaltextrun"/>
    <w:basedOn w:val="Fuentedeprrafopredeter"/>
    <w:rsid w:val="0061201E"/>
  </w:style>
  <w:style w:type="character" w:customStyle="1" w:styleId="eop">
    <w:name w:val="eop"/>
    <w:basedOn w:val="Fuentedeprrafopredeter"/>
    <w:rsid w:val="0061201E"/>
  </w:style>
  <w:style w:type="character" w:customStyle="1" w:styleId="scxw172852953">
    <w:name w:val="scxw172852953"/>
    <w:basedOn w:val="Fuentedeprrafopredeter"/>
    <w:rsid w:val="0061201E"/>
  </w:style>
  <w:style w:type="character" w:customStyle="1" w:styleId="scxw14589775">
    <w:name w:val="scxw14589775"/>
    <w:basedOn w:val="Fuentedeprrafopredeter"/>
    <w:rsid w:val="000D1916"/>
  </w:style>
  <w:style w:type="character" w:styleId="Mencinsinresolver">
    <w:name w:val="Unresolved Mention"/>
    <w:basedOn w:val="Fuentedeprrafopredeter"/>
    <w:uiPriority w:val="99"/>
    <w:semiHidden/>
    <w:unhideWhenUsed/>
    <w:rsid w:val="0043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ionaenerg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A76B-36A3-4B8D-A4A5-A16B4A4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2841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respinoza</dc:creator>
  <cp:lastModifiedBy>Cinthia Noemi Avellaneda Vera</cp:lastModifiedBy>
  <cp:revision>12</cp:revision>
  <dcterms:created xsi:type="dcterms:W3CDTF">2022-01-21T18:51:00Z</dcterms:created>
  <dcterms:modified xsi:type="dcterms:W3CDTF">2022-01-24T12:04:00Z</dcterms:modified>
</cp:coreProperties>
</file>