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643E" w14:textId="1D5EE98B" w:rsidR="00CB7B82" w:rsidRDefault="00E87250" w:rsidP="00CB7B82">
      <w:pPr>
        <w:pStyle w:val="Ttulo1"/>
      </w:pPr>
      <w:bookmarkStart w:id="0" w:name="_Toc476048400"/>
      <w:r>
        <w:t xml:space="preserve">ANEXO: </w:t>
      </w:r>
      <w:r w:rsidR="0040247C">
        <w:t>RESULTADOS DE CUMPLIMIENTO</w:t>
      </w:r>
      <w:r w:rsidR="00CB7B82">
        <w:t xml:space="preserve"> </w:t>
      </w:r>
      <w:r w:rsidR="009435DF">
        <w:t>PROGRAMA MEJORAMIENTO DE LA GESTIÓN (PMG)</w:t>
      </w:r>
      <w:r w:rsidR="00CB7B82">
        <w:t xml:space="preserve"> </w:t>
      </w:r>
      <w:bookmarkEnd w:id="0"/>
      <w:r w:rsidR="00BD3F2F">
        <w:t>2018</w:t>
      </w:r>
    </w:p>
    <w:p w14:paraId="3B1B639C" w14:textId="6A871D9C" w:rsidR="00DC0574" w:rsidRDefault="00DC0574" w:rsidP="00DC0574">
      <w:pPr>
        <w:jc w:val="center"/>
        <w:rPr>
          <w:b/>
          <w:i/>
          <w:sz w:val="18"/>
          <w:szCs w:val="18"/>
        </w:rPr>
      </w:pPr>
      <w:bookmarkStart w:id="1" w:name="_Toc476048401"/>
    </w:p>
    <w:p w14:paraId="24C91D48" w14:textId="77777777" w:rsidR="00DC0574" w:rsidRDefault="00DC0574" w:rsidP="00DC0574">
      <w:pPr>
        <w:jc w:val="center"/>
        <w:rPr>
          <w:b/>
          <w:i/>
          <w:sz w:val="18"/>
          <w:szCs w:val="18"/>
        </w:rPr>
      </w:pPr>
    </w:p>
    <w:p w14:paraId="5275232E" w14:textId="77777777" w:rsidR="00DC0574" w:rsidRDefault="00DC0574" w:rsidP="00DC0574">
      <w:pPr>
        <w:jc w:val="center"/>
        <w:rPr>
          <w:b/>
          <w:i/>
          <w:sz w:val="18"/>
          <w:szCs w:val="18"/>
        </w:rPr>
      </w:pPr>
    </w:p>
    <w:p w14:paraId="72D3753F" w14:textId="77777777" w:rsidR="00DC0574" w:rsidRDefault="00DC0574" w:rsidP="00DC0574">
      <w:pPr>
        <w:jc w:val="center"/>
        <w:rPr>
          <w:b/>
          <w:i/>
          <w:sz w:val="18"/>
          <w:szCs w:val="18"/>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8"/>
        <w:gridCol w:w="6669"/>
      </w:tblGrid>
      <w:tr w:rsidR="00471834" w:rsidRPr="005103A3" w14:paraId="3A302E49" w14:textId="77777777" w:rsidTr="00471834">
        <w:trPr>
          <w:trHeight w:val="383"/>
          <w:jc w:val="center"/>
        </w:trPr>
        <w:tc>
          <w:tcPr>
            <w:tcW w:w="3198" w:type="dxa"/>
            <w:shd w:val="clear" w:color="auto" w:fill="999999"/>
            <w:vAlign w:val="center"/>
          </w:tcPr>
          <w:p w14:paraId="3545F46A" w14:textId="77777777" w:rsidR="00471834" w:rsidRPr="005103A3" w:rsidRDefault="00471834" w:rsidP="00471834">
            <w:pPr>
              <w:rPr>
                <w:rFonts w:ascii="Arial" w:hAnsi="Arial" w:cs="Arial"/>
                <w:b/>
                <w:sz w:val="18"/>
                <w:szCs w:val="16"/>
              </w:rPr>
            </w:pPr>
            <w:r>
              <w:rPr>
                <w:rFonts w:ascii="Arial" w:hAnsi="Arial" w:cs="Arial"/>
                <w:b/>
                <w:sz w:val="18"/>
                <w:szCs w:val="16"/>
              </w:rPr>
              <w:t>SERVICIO</w:t>
            </w:r>
          </w:p>
        </w:tc>
        <w:tc>
          <w:tcPr>
            <w:tcW w:w="6669" w:type="dxa"/>
            <w:vAlign w:val="center"/>
          </w:tcPr>
          <w:p w14:paraId="57BE4A2B" w14:textId="77777777" w:rsidR="00471834" w:rsidRPr="005103A3" w:rsidRDefault="00471834" w:rsidP="00471834">
            <w:pPr>
              <w:jc w:val="center"/>
              <w:rPr>
                <w:rFonts w:ascii="Arial" w:hAnsi="Arial" w:cs="Arial"/>
                <w:sz w:val="18"/>
                <w:szCs w:val="16"/>
              </w:rPr>
            </w:pPr>
            <w:r>
              <w:rPr>
                <w:rFonts w:ascii="Arial" w:hAnsi="Arial" w:cs="Arial"/>
                <w:sz w:val="18"/>
                <w:szCs w:val="16"/>
              </w:rPr>
              <w:t>SUB</w:t>
            </w:r>
            <w:r w:rsidR="00E440D6">
              <w:rPr>
                <w:rFonts w:ascii="Arial" w:hAnsi="Arial" w:cs="Arial"/>
                <w:sz w:val="18"/>
                <w:szCs w:val="16"/>
              </w:rPr>
              <w:t>SE</w:t>
            </w:r>
            <w:r>
              <w:rPr>
                <w:rFonts w:ascii="Arial" w:hAnsi="Arial" w:cs="Arial"/>
                <w:sz w:val="18"/>
                <w:szCs w:val="16"/>
              </w:rPr>
              <w:t>CRETARÍA DE EVALUACIÓN SOCIAL</w:t>
            </w:r>
          </w:p>
        </w:tc>
      </w:tr>
      <w:tr w:rsidR="00471834" w:rsidRPr="005103A3" w14:paraId="412BC123" w14:textId="77777777" w:rsidTr="00471834">
        <w:trPr>
          <w:trHeight w:val="430"/>
          <w:jc w:val="center"/>
        </w:trPr>
        <w:tc>
          <w:tcPr>
            <w:tcW w:w="3198" w:type="dxa"/>
            <w:shd w:val="clear" w:color="auto" w:fill="999999"/>
            <w:vAlign w:val="center"/>
          </w:tcPr>
          <w:p w14:paraId="656C781D" w14:textId="77777777" w:rsidR="00471834" w:rsidRPr="005103A3" w:rsidRDefault="00471834" w:rsidP="00471834">
            <w:pPr>
              <w:rPr>
                <w:rFonts w:ascii="Arial" w:hAnsi="Arial" w:cs="Arial"/>
                <w:b/>
                <w:sz w:val="18"/>
                <w:szCs w:val="16"/>
              </w:rPr>
            </w:pPr>
            <w:r>
              <w:rPr>
                <w:rFonts w:ascii="Arial" w:hAnsi="Arial" w:cs="Arial"/>
                <w:b/>
                <w:sz w:val="18"/>
                <w:szCs w:val="16"/>
              </w:rPr>
              <w:t>SISTEMA DE GESTIÓN</w:t>
            </w:r>
          </w:p>
        </w:tc>
        <w:tc>
          <w:tcPr>
            <w:tcW w:w="6669" w:type="dxa"/>
            <w:vAlign w:val="center"/>
          </w:tcPr>
          <w:p w14:paraId="0D48E953" w14:textId="77777777" w:rsidR="00471834" w:rsidRPr="00471834" w:rsidRDefault="000A5EF6" w:rsidP="00471834">
            <w:pPr>
              <w:jc w:val="center"/>
              <w:rPr>
                <w:rFonts w:ascii="Arial" w:hAnsi="Arial" w:cs="Arial"/>
                <w:sz w:val="18"/>
                <w:szCs w:val="16"/>
                <w:highlight w:val="yellow"/>
              </w:rPr>
            </w:pPr>
            <w:r>
              <w:rPr>
                <w:rFonts w:ascii="Arial" w:hAnsi="Arial" w:cs="Arial"/>
                <w:sz w:val="18"/>
                <w:szCs w:val="16"/>
              </w:rPr>
              <w:t>MONITOREO DEL DESEM</w:t>
            </w:r>
            <w:r w:rsidR="00471834">
              <w:rPr>
                <w:rFonts w:ascii="Arial" w:hAnsi="Arial" w:cs="Arial"/>
                <w:sz w:val="18"/>
                <w:szCs w:val="16"/>
              </w:rPr>
              <w:t>PEÑO INSTITUCIONAL</w:t>
            </w:r>
          </w:p>
        </w:tc>
      </w:tr>
      <w:tr w:rsidR="00BD3F2F" w:rsidRPr="00FC32E2" w14:paraId="50B6CB7C" w14:textId="77777777" w:rsidTr="00B4607B">
        <w:trPr>
          <w:trHeight w:val="564"/>
          <w:jc w:val="center"/>
        </w:trPr>
        <w:tc>
          <w:tcPr>
            <w:tcW w:w="3198" w:type="dxa"/>
            <w:shd w:val="clear" w:color="auto" w:fill="999999"/>
            <w:vAlign w:val="center"/>
          </w:tcPr>
          <w:p w14:paraId="469D2718" w14:textId="77777777" w:rsidR="00BD3F2F" w:rsidRPr="00FC32E2" w:rsidRDefault="00BD3F2F" w:rsidP="00BF67BA">
            <w:pPr>
              <w:jc w:val="center"/>
              <w:rPr>
                <w:rFonts w:ascii="Arial" w:hAnsi="Arial" w:cs="Arial"/>
                <w:b/>
                <w:sz w:val="18"/>
                <w:szCs w:val="16"/>
              </w:rPr>
            </w:pPr>
            <w:r w:rsidRPr="00FC32E2">
              <w:rPr>
                <w:rFonts w:ascii="Arial" w:hAnsi="Arial" w:cs="Arial"/>
                <w:b/>
                <w:sz w:val="18"/>
                <w:szCs w:val="16"/>
              </w:rPr>
              <w:t>OBJETIVO DE GESTIÓN</w:t>
            </w:r>
          </w:p>
        </w:tc>
        <w:tc>
          <w:tcPr>
            <w:tcW w:w="6669" w:type="dxa"/>
            <w:shd w:val="clear" w:color="auto" w:fill="A6A6A6" w:themeFill="background1" w:themeFillShade="A6"/>
            <w:vAlign w:val="center"/>
          </w:tcPr>
          <w:p w14:paraId="5897C03D" w14:textId="77777777" w:rsidR="00BD3F2F" w:rsidRPr="00FC32E2" w:rsidRDefault="00BD3F2F" w:rsidP="00BF67BA">
            <w:pPr>
              <w:jc w:val="center"/>
              <w:rPr>
                <w:rFonts w:ascii="Arial" w:hAnsi="Arial" w:cs="Arial"/>
                <w:b/>
                <w:sz w:val="18"/>
                <w:szCs w:val="16"/>
                <w:highlight w:val="yellow"/>
              </w:rPr>
            </w:pPr>
            <w:r w:rsidRPr="00FC32E2">
              <w:rPr>
                <w:rFonts w:ascii="Arial" w:hAnsi="Arial" w:cs="Arial"/>
                <w:b/>
                <w:sz w:val="18"/>
                <w:szCs w:val="16"/>
              </w:rPr>
              <w:t>% DE CUMPLIMIENTO OBJETIVO</w:t>
            </w:r>
          </w:p>
        </w:tc>
      </w:tr>
      <w:tr w:rsidR="00BD3F2F" w:rsidRPr="00FC32E2" w14:paraId="55F8E62A" w14:textId="77777777" w:rsidTr="00BD3F2F">
        <w:trPr>
          <w:trHeight w:val="430"/>
          <w:jc w:val="center"/>
        </w:trPr>
        <w:tc>
          <w:tcPr>
            <w:tcW w:w="3198" w:type="dxa"/>
            <w:shd w:val="clear" w:color="auto" w:fill="auto"/>
            <w:vAlign w:val="center"/>
          </w:tcPr>
          <w:p w14:paraId="0FA94065" w14:textId="77777777" w:rsidR="00BD3F2F" w:rsidRPr="000A5EF6" w:rsidRDefault="00BD3F2F" w:rsidP="00471834">
            <w:pPr>
              <w:rPr>
                <w:rFonts w:ascii="Arial" w:hAnsi="Arial" w:cs="Arial"/>
                <w:sz w:val="18"/>
                <w:szCs w:val="16"/>
              </w:rPr>
            </w:pPr>
            <w:r w:rsidRPr="000A5EF6">
              <w:rPr>
                <w:rFonts w:ascii="Arial" w:hAnsi="Arial" w:cs="Arial"/>
                <w:sz w:val="18"/>
                <w:szCs w:val="16"/>
              </w:rPr>
              <w:t>OBJETIVO DE GESTIÓN 1</w:t>
            </w:r>
          </w:p>
        </w:tc>
        <w:tc>
          <w:tcPr>
            <w:tcW w:w="6669" w:type="dxa"/>
            <w:shd w:val="clear" w:color="auto" w:fill="auto"/>
            <w:vAlign w:val="center"/>
          </w:tcPr>
          <w:p w14:paraId="750EDB1D" w14:textId="406AC14D" w:rsidR="00BD3F2F" w:rsidRPr="000A5EF6" w:rsidRDefault="00E8382F" w:rsidP="000A5EF6">
            <w:pPr>
              <w:jc w:val="center"/>
              <w:rPr>
                <w:rFonts w:ascii="Arial" w:hAnsi="Arial" w:cs="Arial"/>
                <w:sz w:val="18"/>
                <w:szCs w:val="16"/>
              </w:rPr>
            </w:pPr>
            <w:r>
              <w:rPr>
                <w:rFonts w:ascii="Arial" w:hAnsi="Arial" w:cs="Arial"/>
                <w:sz w:val="18"/>
                <w:szCs w:val="16"/>
              </w:rPr>
              <w:t>50</w:t>
            </w:r>
            <w:r w:rsidR="00BD3F2F">
              <w:rPr>
                <w:rFonts w:ascii="Arial" w:hAnsi="Arial" w:cs="Arial"/>
                <w:sz w:val="18"/>
                <w:szCs w:val="16"/>
              </w:rPr>
              <w:t>%</w:t>
            </w:r>
          </w:p>
        </w:tc>
      </w:tr>
      <w:tr w:rsidR="00BD3F2F" w:rsidRPr="00FC32E2" w14:paraId="5B4D7CAE" w14:textId="77777777" w:rsidTr="00BD3F2F">
        <w:trPr>
          <w:trHeight w:val="430"/>
          <w:jc w:val="center"/>
        </w:trPr>
        <w:tc>
          <w:tcPr>
            <w:tcW w:w="3198" w:type="dxa"/>
            <w:shd w:val="clear" w:color="auto" w:fill="auto"/>
            <w:vAlign w:val="center"/>
          </w:tcPr>
          <w:p w14:paraId="48A2B233" w14:textId="77777777" w:rsidR="00BD3F2F" w:rsidRPr="000A5EF6" w:rsidRDefault="00BD3F2F" w:rsidP="00471834">
            <w:pPr>
              <w:rPr>
                <w:rFonts w:ascii="Arial" w:hAnsi="Arial" w:cs="Arial"/>
                <w:sz w:val="18"/>
                <w:szCs w:val="16"/>
              </w:rPr>
            </w:pPr>
            <w:r w:rsidRPr="000A5EF6">
              <w:rPr>
                <w:rFonts w:ascii="Arial" w:hAnsi="Arial" w:cs="Arial"/>
                <w:sz w:val="18"/>
                <w:szCs w:val="16"/>
              </w:rPr>
              <w:t>OBJETIVO DE GESTIÓN 2</w:t>
            </w:r>
          </w:p>
        </w:tc>
        <w:tc>
          <w:tcPr>
            <w:tcW w:w="6669" w:type="dxa"/>
            <w:shd w:val="clear" w:color="auto" w:fill="auto"/>
            <w:vAlign w:val="center"/>
          </w:tcPr>
          <w:p w14:paraId="7F4D80A7" w14:textId="69F061F9" w:rsidR="00BD3F2F" w:rsidRPr="000A5EF6" w:rsidRDefault="00E8382F" w:rsidP="008E1461">
            <w:pPr>
              <w:jc w:val="center"/>
              <w:rPr>
                <w:rFonts w:ascii="Arial" w:hAnsi="Arial" w:cs="Arial"/>
                <w:sz w:val="18"/>
                <w:szCs w:val="16"/>
              </w:rPr>
            </w:pPr>
            <w:r>
              <w:rPr>
                <w:rFonts w:ascii="Arial" w:hAnsi="Arial" w:cs="Arial"/>
                <w:sz w:val="18"/>
                <w:szCs w:val="16"/>
              </w:rPr>
              <w:t>44</w:t>
            </w:r>
            <w:r w:rsidR="00BD3F2F">
              <w:rPr>
                <w:rFonts w:ascii="Arial" w:hAnsi="Arial" w:cs="Arial"/>
                <w:sz w:val="18"/>
                <w:szCs w:val="16"/>
              </w:rPr>
              <w:t>%</w:t>
            </w:r>
          </w:p>
        </w:tc>
      </w:tr>
      <w:tr w:rsidR="00E8382F" w:rsidRPr="00FC32E2" w14:paraId="3BCC5EFC" w14:textId="77777777" w:rsidTr="00BD3F2F">
        <w:trPr>
          <w:trHeight w:val="430"/>
          <w:jc w:val="center"/>
        </w:trPr>
        <w:tc>
          <w:tcPr>
            <w:tcW w:w="3198" w:type="dxa"/>
            <w:shd w:val="clear" w:color="auto" w:fill="auto"/>
            <w:vAlign w:val="center"/>
          </w:tcPr>
          <w:p w14:paraId="360FD5C2" w14:textId="03137D6D" w:rsidR="00E8382F" w:rsidRPr="000A5EF6" w:rsidRDefault="00E8382F" w:rsidP="00E8382F">
            <w:pPr>
              <w:rPr>
                <w:rFonts w:ascii="Arial" w:hAnsi="Arial" w:cs="Arial"/>
                <w:sz w:val="18"/>
                <w:szCs w:val="16"/>
              </w:rPr>
            </w:pPr>
            <w:r w:rsidRPr="000A5EF6">
              <w:rPr>
                <w:rFonts w:ascii="Arial" w:hAnsi="Arial" w:cs="Arial"/>
                <w:sz w:val="18"/>
                <w:szCs w:val="16"/>
              </w:rPr>
              <w:t xml:space="preserve">OBJETIVO DE GESTIÓN </w:t>
            </w:r>
            <w:r>
              <w:rPr>
                <w:rFonts w:ascii="Arial" w:hAnsi="Arial" w:cs="Arial"/>
                <w:sz w:val="18"/>
                <w:szCs w:val="16"/>
              </w:rPr>
              <w:t>3</w:t>
            </w:r>
          </w:p>
        </w:tc>
        <w:tc>
          <w:tcPr>
            <w:tcW w:w="6669" w:type="dxa"/>
            <w:shd w:val="clear" w:color="auto" w:fill="auto"/>
            <w:vAlign w:val="center"/>
          </w:tcPr>
          <w:p w14:paraId="188830FF" w14:textId="190DD9F2" w:rsidR="00E8382F" w:rsidRDefault="00E8382F" w:rsidP="00E8382F">
            <w:pPr>
              <w:jc w:val="center"/>
              <w:rPr>
                <w:rFonts w:ascii="Arial" w:hAnsi="Arial" w:cs="Arial"/>
                <w:sz w:val="18"/>
                <w:szCs w:val="16"/>
              </w:rPr>
            </w:pPr>
            <w:r>
              <w:rPr>
                <w:rFonts w:ascii="Arial" w:hAnsi="Arial" w:cs="Arial"/>
                <w:sz w:val="18"/>
                <w:szCs w:val="16"/>
              </w:rPr>
              <w:t>0%</w:t>
            </w:r>
          </w:p>
        </w:tc>
      </w:tr>
      <w:tr w:rsidR="00E8382F" w:rsidRPr="00FC32E2" w14:paraId="1FD90359" w14:textId="77777777" w:rsidTr="00BD3F2F">
        <w:trPr>
          <w:trHeight w:val="430"/>
          <w:jc w:val="center"/>
        </w:trPr>
        <w:tc>
          <w:tcPr>
            <w:tcW w:w="3198" w:type="dxa"/>
            <w:shd w:val="clear" w:color="auto" w:fill="auto"/>
            <w:vAlign w:val="center"/>
          </w:tcPr>
          <w:p w14:paraId="2A64B3CD" w14:textId="54CA3FF9" w:rsidR="00E8382F" w:rsidRPr="000A5EF6" w:rsidRDefault="00E8382F" w:rsidP="00E8382F">
            <w:pPr>
              <w:rPr>
                <w:rFonts w:ascii="Arial" w:hAnsi="Arial" w:cs="Arial"/>
                <w:sz w:val="18"/>
                <w:szCs w:val="16"/>
              </w:rPr>
            </w:pPr>
            <w:r w:rsidRPr="000A5EF6">
              <w:rPr>
                <w:rFonts w:ascii="Arial" w:hAnsi="Arial" w:cs="Arial"/>
                <w:sz w:val="18"/>
                <w:szCs w:val="16"/>
              </w:rPr>
              <w:t xml:space="preserve">OBJETIVO DE GESTIÓN </w:t>
            </w:r>
            <w:r>
              <w:rPr>
                <w:rFonts w:ascii="Arial" w:hAnsi="Arial" w:cs="Arial"/>
                <w:sz w:val="18"/>
                <w:szCs w:val="16"/>
              </w:rPr>
              <w:t>4</w:t>
            </w:r>
          </w:p>
        </w:tc>
        <w:tc>
          <w:tcPr>
            <w:tcW w:w="6669" w:type="dxa"/>
            <w:shd w:val="clear" w:color="auto" w:fill="auto"/>
            <w:vAlign w:val="center"/>
          </w:tcPr>
          <w:p w14:paraId="74529989" w14:textId="5522040E" w:rsidR="00E8382F" w:rsidRDefault="00E8382F" w:rsidP="00E8382F">
            <w:pPr>
              <w:jc w:val="center"/>
              <w:rPr>
                <w:rFonts w:ascii="Arial" w:hAnsi="Arial" w:cs="Arial"/>
                <w:sz w:val="18"/>
                <w:szCs w:val="16"/>
              </w:rPr>
            </w:pPr>
            <w:r>
              <w:rPr>
                <w:rFonts w:ascii="Arial" w:hAnsi="Arial" w:cs="Arial"/>
                <w:sz w:val="18"/>
                <w:szCs w:val="16"/>
              </w:rPr>
              <w:t>5%</w:t>
            </w:r>
          </w:p>
        </w:tc>
      </w:tr>
      <w:tr w:rsidR="00E8382F" w:rsidRPr="00FC32E2" w14:paraId="23B1CB2F" w14:textId="77777777" w:rsidTr="00967CD4">
        <w:trPr>
          <w:trHeight w:val="430"/>
          <w:jc w:val="center"/>
        </w:trPr>
        <w:tc>
          <w:tcPr>
            <w:tcW w:w="3198" w:type="dxa"/>
            <w:shd w:val="clear" w:color="auto" w:fill="A6A6A6" w:themeFill="background1" w:themeFillShade="A6"/>
            <w:vAlign w:val="center"/>
          </w:tcPr>
          <w:p w14:paraId="0CD02B85" w14:textId="77777777" w:rsidR="00E8382F" w:rsidRDefault="00E8382F" w:rsidP="00E8382F">
            <w:pPr>
              <w:rPr>
                <w:rFonts w:ascii="Arial" w:hAnsi="Arial" w:cs="Arial"/>
                <w:sz w:val="18"/>
                <w:szCs w:val="16"/>
              </w:rPr>
            </w:pPr>
            <w:r>
              <w:rPr>
                <w:rFonts w:ascii="Arial" w:hAnsi="Arial" w:cs="Arial"/>
                <w:sz w:val="18"/>
                <w:szCs w:val="16"/>
              </w:rPr>
              <w:t>TOTAL</w:t>
            </w:r>
          </w:p>
        </w:tc>
        <w:tc>
          <w:tcPr>
            <w:tcW w:w="6669" w:type="dxa"/>
            <w:shd w:val="clear" w:color="auto" w:fill="auto"/>
            <w:vAlign w:val="center"/>
          </w:tcPr>
          <w:p w14:paraId="29224B5C" w14:textId="03316839" w:rsidR="00E8382F" w:rsidRDefault="00E8382F" w:rsidP="00E8382F">
            <w:pPr>
              <w:jc w:val="center"/>
              <w:rPr>
                <w:rFonts w:ascii="Arial" w:hAnsi="Arial" w:cs="Arial"/>
                <w:sz w:val="18"/>
                <w:szCs w:val="16"/>
              </w:rPr>
            </w:pPr>
            <w:r>
              <w:rPr>
                <w:rFonts w:ascii="Arial" w:hAnsi="Arial" w:cs="Arial"/>
                <w:sz w:val="18"/>
                <w:szCs w:val="16"/>
              </w:rPr>
              <w:t>99 %</w:t>
            </w:r>
          </w:p>
        </w:tc>
      </w:tr>
    </w:tbl>
    <w:p w14:paraId="76CC9DD7" w14:textId="77777777" w:rsidR="00DC0574" w:rsidRDefault="00DC0574" w:rsidP="00DC0574">
      <w:pPr>
        <w:jc w:val="center"/>
        <w:rPr>
          <w:b/>
          <w:i/>
          <w:sz w:val="18"/>
          <w:szCs w:val="18"/>
        </w:rPr>
      </w:pPr>
    </w:p>
    <w:p w14:paraId="22D04428" w14:textId="77777777" w:rsidR="0019695D" w:rsidRDefault="0019695D" w:rsidP="00DC0574">
      <w:pPr>
        <w:jc w:val="center"/>
        <w:rPr>
          <w:b/>
          <w:i/>
          <w:sz w:val="18"/>
          <w:szCs w:val="18"/>
        </w:rPr>
      </w:pPr>
    </w:p>
    <w:p w14:paraId="2AD38089" w14:textId="77777777" w:rsidR="0019695D" w:rsidRDefault="0019695D" w:rsidP="00DC0574">
      <w:pPr>
        <w:jc w:val="center"/>
        <w:rPr>
          <w:b/>
          <w:i/>
          <w:sz w:val="18"/>
          <w:szCs w:val="18"/>
        </w:rPr>
      </w:pPr>
    </w:p>
    <w:p w14:paraId="0EF6BE9F" w14:textId="77777777" w:rsidR="0019695D" w:rsidRDefault="0019695D" w:rsidP="00DC0574">
      <w:pPr>
        <w:jc w:val="center"/>
        <w:rPr>
          <w:b/>
          <w:i/>
          <w:sz w:val="18"/>
          <w:szCs w:val="18"/>
        </w:rPr>
      </w:pPr>
    </w:p>
    <w:p w14:paraId="2AFB8BBE" w14:textId="77777777" w:rsidR="0019695D" w:rsidRDefault="0019695D" w:rsidP="00DC0574">
      <w:pPr>
        <w:jc w:val="center"/>
        <w:rPr>
          <w:b/>
          <w:i/>
          <w:sz w:val="18"/>
          <w:szCs w:val="18"/>
        </w:rPr>
      </w:pPr>
    </w:p>
    <w:p w14:paraId="0F2CB16C" w14:textId="77777777" w:rsidR="0019695D" w:rsidRDefault="0019695D" w:rsidP="00DC0574">
      <w:pPr>
        <w:jc w:val="center"/>
        <w:rPr>
          <w:b/>
          <w:i/>
          <w:sz w:val="18"/>
          <w:szCs w:val="18"/>
        </w:rPr>
      </w:pPr>
    </w:p>
    <w:p w14:paraId="409F34F5" w14:textId="77777777" w:rsidR="0019695D" w:rsidRDefault="0019695D" w:rsidP="00DC0574">
      <w:pPr>
        <w:jc w:val="center"/>
        <w:rPr>
          <w:b/>
          <w:i/>
          <w:sz w:val="18"/>
          <w:szCs w:val="18"/>
        </w:rPr>
      </w:pPr>
    </w:p>
    <w:p w14:paraId="36BF61BD" w14:textId="77777777" w:rsidR="0019695D" w:rsidRDefault="0019695D" w:rsidP="00DC0574">
      <w:pPr>
        <w:jc w:val="center"/>
        <w:rPr>
          <w:b/>
          <w:i/>
          <w:sz w:val="18"/>
          <w:szCs w:val="18"/>
        </w:rPr>
      </w:pPr>
    </w:p>
    <w:p w14:paraId="6715551E" w14:textId="77777777" w:rsidR="0019695D" w:rsidRDefault="0019695D" w:rsidP="00DC0574">
      <w:pPr>
        <w:jc w:val="center"/>
        <w:rPr>
          <w:b/>
          <w:i/>
          <w:sz w:val="18"/>
          <w:szCs w:val="18"/>
        </w:rPr>
      </w:pPr>
    </w:p>
    <w:p w14:paraId="386F4859" w14:textId="77777777" w:rsidR="0019695D" w:rsidRDefault="0019695D" w:rsidP="00DC0574">
      <w:pPr>
        <w:jc w:val="center"/>
        <w:rPr>
          <w:b/>
          <w:i/>
          <w:sz w:val="18"/>
          <w:szCs w:val="18"/>
        </w:rPr>
      </w:pPr>
    </w:p>
    <w:p w14:paraId="2037601E" w14:textId="77777777" w:rsidR="0019695D" w:rsidRDefault="0019695D" w:rsidP="00DC0574">
      <w:pPr>
        <w:jc w:val="center"/>
        <w:rPr>
          <w:b/>
          <w:i/>
          <w:sz w:val="18"/>
          <w:szCs w:val="18"/>
        </w:rPr>
      </w:pPr>
    </w:p>
    <w:p w14:paraId="076F13F4" w14:textId="77777777" w:rsidR="0019695D" w:rsidRDefault="0019695D" w:rsidP="00DC0574">
      <w:pPr>
        <w:jc w:val="center"/>
        <w:rPr>
          <w:b/>
          <w:i/>
          <w:sz w:val="18"/>
          <w:szCs w:val="18"/>
        </w:rPr>
      </w:pPr>
    </w:p>
    <w:p w14:paraId="4B5D1BD5" w14:textId="77777777" w:rsidR="0019695D" w:rsidRDefault="0019695D" w:rsidP="00DC0574">
      <w:pPr>
        <w:jc w:val="center"/>
        <w:rPr>
          <w:b/>
          <w:i/>
          <w:sz w:val="18"/>
          <w:szCs w:val="18"/>
        </w:rPr>
      </w:pPr>
    </w:p>
    <w:p w14:paraId="4E0189F4" w14:textId="77777777" w:rsidR="0019695D" w:rsidRDefault="0019695D" w:rsidP="00DC0574">
      <w:pPr>
        <w:jc w:val="center"/>
        <w:rPr>
          <w:b/>
          <w:i/>
          <w:sz w:val="18"/>
          <w:szCs w:val="18"/>
        </w:rPr>
      </w:pPr>
    </w:p>
    <w:p w14:paraId="2C162BBC" w14:textId="77777777" w:rsidR="0019695D" w:rsidRDefault="0019695D" w:rsidP="00DC0574">
      <w:pPr>
        <w:jc w:val="center"/>
        <w:rPr>
          <w:b/>
          <w:i/>
          <w:sz w:val="18"/>
          <w:szCs w:val="18"/>
        </w:rPr>
      </w:pPr>
    </w:p>
    <w:p w14:paraId="699899D2" w14:textId="77777777" w:rsidR="0019695D" w:rsidRDefault="0019695D" w:rsidP="00DC0574">
      <w:pPr>
        <w:jc w:val="center"/>
        <w:rPr>
          <w:b/>
          <w:i/>
          <w:sz w:val="18"/>
          <w:szCs w:val="18"/>
        </w:rPr>
      </w:pPr>
    </w:p>
    <w:p w14:paraId="1E51F4EB" w14:textId="77777777" w:rsidR="0019695D" w:rsidRDefault="0019695D" w:rsidP="00DC0574">
      <w:pPr>
        <w:jc w:val="center"/>
        <w:rPr>
          <w:b/>
          <w:i/>
          <w:sz w:val="18"/>
          <w:szCs w:val="18"/>
        </w:rPr>
      </w:pPr>
    </w:p>
    <w:p w14:paraId="492D96DD" w14:textId="77777777" w:rsidR="0019695D" w:rsidRDefault="0019695D" w:rsidP="00DC0574">
      <w:pPr>
        <w:jc w:val="center"/>
        <w:rPr>
          <w:b/>
          <w:i/>
          <w:sz w:val="18"/>
          <w:szCs w:val="18"/>
        </w:rPr>
      </w:pPr>
    </w:p>
    <w:p w14:paraId="75017EAA" w14:textId="77777777" w:rsidR="0019695D" w:rsidRDefault="0019695D" w:rsidP="00DC0574">
      <w:pPr>
        <w:jc w:val="center"/>
        <w:rPr>
          <w:b/>
          <w:i/>
          <w:sz w:val="18"/>
          <w:szCs w:val="18"/>
        </w:rPr>
      </w:pPr>
    </w:p>
    <w:p w14:paraId="55652C8D" w14:textId="77777777" w:rsidR="0019695D" w:rsidRDefault="0019695D" w:rsidP="00DC0574">
      <w:pPr>
        <w:jc w:val="center"/>
        <w:rPr>
          <w:b/>
          <w:i/>
          <w:sz w:val="18"/>
          <w:szCs w:val="18"/>
        </w:rPr>
      </w:pPr>
    </w:p>
    <w:p w14:paraId="256B1389" w14:textId="77777777" w:rsidR="0019695D" w:rsidRDefault="0019695D" w:rsidP="00DC0574">
      <w:pPr>
        <w:jc w:val="center"/>
        <w:rPr>
          <w:b/>
          <w:i/>
          <w:sz w:val="18"/>
          <w:szCs w:val="18"/>
        </w:rPr>
      </w:pPr>
    </w:p>
    <w:p w14:paraId="17D94158" w14:textId="77777777" w:rsidR="0019695D" w:rsidRDefault="0019695D" w:rsidP="00DC0574">
      <w:pPr>
        <w:jc w:val="center"/>
        <w:rPr>
          <w:b/>
          <w:i/>
          <w:sz w:val="18"/>
          <w:szCs w:val="18"/>
        </w:rPr>
      </w:pPr>
    </w:p>
    <w:p w14:paraId="04AC86E4" w14:textId="77777777" w:rsidR="0019695D" w:rsidRDefault="0019695D" w:rsidP="00DC0574">
      <w:pPr>
        <w:jc w:val="center"/>
        <w:rPr>
          <w:b/>
          <w:i/>
          <w:sz w:val="18"/>
          <w:szCs w:val="18"/>
        </w:rPr>
      </w:pPr>
    </w:p>
    <w:p w14:paraId="69BF9BF6" w14:textId="77777777" w:rsidR="0019695D" w:rsidRDefault="0019695D" w:rsidP="00DC0574">
      <w:pPr>
        <w:jc w:val="center"/>
        <w:rPr>
          <w:b/>
          <w:i/>
          <w:sz w:val="18"/>
          <w:szCs w:val="18"/>
        </w:rPr>
      </w:pPr>
    </w:p>
    <w:p w14:paraId="76CF22FA" w14:textId="77777777" w:rsidR="0019695D" w:rsidRDefault="0019695D" w:rsidP="00DC0574">
      <w:pPr>
        <w:jc w:val="center"/>
        <w:rPr>
          <w:b/>
          <w:i/>
          <w:sz w:val="18"/>
          <w:szCs w:val="18"/>
        </w:rPr>
      </w:pPr>
    </w:p>
    <w:p w14:paraId="037DBF45" w14:textId="77777777" w:rsidR="0019695D" w:rsidRDefault="0019695D" w:rsidP="00DC0574">
      <w:pPr>
        <w:jc w:val="center"/>
        <w:rPr>
          <w:b/>
          <w:i/>
          <w:sz w:val="18"/>
          <w:szCs w:val="18"/>
        </w:rPr>
      </w:pPr>
    </w:p>
    <w:p w14:paraId="0A1F63A8" w14:textId="77777777" w:rsidR="0019695D" w:rsidRDefault="0019695D" w:rsidP="00DC0574">
      <w:pPr>
        <w:jc w:val="center"/>
        <w:rPr>
          <w:b/>
          <w:i/>
          <w:sz w:val="18"/>
          <w:szCs w:val="18"/>
        </w:rPr>
      </w:pPr>
    </w:p>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832"/>
        <w:gridCol w:w="1984"/>
        <w:gridCol w:w="1276"/>
        <w:gridCol w:w="851"/>
        <w:gridCol w:w="708"/>
        <w:gridCol w:w="1134"/>
        <w:gridCol w:w="855"/>
        <w:gridCol w:w="421"/>
        <w:gridCol w:w="8787"/>
      </w:tblGrid>
      <w:tr w:rsidR="008F195E" w:rsidRPr="00013B88" w14:paraId="30969CA0" w14:textId="77777777" w:rsidTr="008F195E">
        <w:trPr>
          <w:trHeight w:val="737"/>
          <w:tblHeader/>
          <w:jc w:val="center"/>
        </w:trPr>
        <w:tc>
          <w:tcPr>
            <w:tcW w:w="9208" w:type="dxa"/>
            <w:gridSpan w:val="8"/>
            <w:shd w:val="clear" w:color="auto" w:fill="1F497D" w:themeFill="text2"/>
            <w:vAlign w:val="center"/>
            <w:hideMark/>
          </w:tcPr>
          <w:bookmarkEnd w:id="1"/>
          <w:p w14:paraId="713ED03C" w14:textId="77777777" w:rsidR="008F195E" w:rsidRPr="00236F5A" w:rsidRDefault="008F195E" w:rsidP="00A0335C">
            <w:pPr>
              <w:jc w:val="center"/>
              <w:rPr>
                <w:rFonts w:cs="Calibri"/>
                <w:b/>
                <w:bCs/>
                <w:color w:val="FFFFFF"/>
                <w:sz w:val="22"/>
                <w:szCs w:val="14"/>
                <w:lang w:val="es-CL" w:eastAsia="es-CL"/>
              </w:rPr>
            </w:pPr>
            <w:r>
              <w:rPr>
                <w:rFonts w:cs="Arial"/>
                <w:b/>
                <w:color w:val="FFFFFF" w:themeColor="background1"/>
                <w:sz w:val="26"/>
                <w:szCs w:val="26"/>
              </w:rPr>
              <w:t>OBJETIVO DE GESTIÓN 1</w:t>
            </w:r>
          </w:p>
        </w:tc>
        <w:tc>
          <w:tcPr>
            <w:tcW w:w="9208" w:type="dxa"/>
            <w:gridSpan w:val="2"/>
            <w:shd w:val="clear" w:color="auto" w:fill="1F497D" w:themeFill="text2"/>
            <w:vAlign w:val="center"/>
          </w:tcPr>
          <w:p w14:paraId="11C79472" w14:textId="77777777" w:rsidR="008F195E" w:rsidRPr="008F195E" w:rsidRDefault="008F195E" w:rsidP="008F195E">
            <w:pPr>
              <w:rPr>
                <w:rFonts w:cs="Calibri"/>
                <w:b/>
                <w:bCs/>
                <w:color w:val="FFFFFF" w:themeColor="background1"/>
                <w:sz w:val="22"/>
                <w:szCs w:val="14"/>
                <w:lang w:val="es-CL" w:eastAsia="es-CL"/>
              </w:rPr>
            </w:pPr>
            <w:r w:rsidRPr="008F195E">
              <w:rPr>
                <w:rFonts w:cs="Calibri"/>
                <w:b/>
                <w:bCs/>
                <w:color w:val="FFFFFF" w:themeColor="background1"/>
                <w:sz w:val="22"/>
                <w:szCs w:val="14"/>
                <w:lang w:val="es-CL" w:eastAsia="es-CL"/>
              </w:rPr>
              <w:t>Evaluar e informar sin errores el resultado de los indicadores de desempeño asociados a productos estratégicos, cumpliendo metas entre 75% y 100%</w:t>
            </w:r>
            <w:r>
              <w:rPr>
                <w:rFonts w:cs="Calibri"/>
                <w:b/>
                <w:bCs/>
                <w:color w:val="FFFFFF" w:themeColor="background1"/>
                <w:sz w:val="22"/>
                <w:szCs w:val="14"/>
                <w:lang w:val="es-CL" w:eastAsia="es-CL"/>
              </w:rPr>
              <w:t>.</w:t>
            </w:r>
          </w:p>
        </w:tc>
      </w:tr>
      <w:tr w:rsidR="004812EF" w:rsidRPr="00013B88" w14:paraId="4041D116" w14:textId="77777777" w:rsidTr="00267394">
        <w:trPr>
          <w:trHeight w:val="737"/>
          <w:tblHeader/>
          <w:jc w:val="center"/>
        </w:trPr>
        <w:tc>
          <w:tcPr>
            <w:tcW w:w="568" w:type="dxa"/>
            <w:shd w:val="clear" w:color="auto" w:fill="1F497D" w:themeFill="text2"/>
            <w:vAlign w:val="center"/>
            <w:hideMark/>
          </w:tcPr>
          <w:p w14:paraId="1D037D58" w14:textId="77777777" w:rsidR="001426FF" w:rsidRPr="0018468A" w:rsidRDefault="001426FF" w:rsidP="00A0335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2" w:type="dxa"/>
            <w:shd w:val="clear" w:color="auto" w:fill="1F497D" w:themeFill="text2"/>
            <w:vAlign w:val="center"/>
            <w:hideMark/>
          </w:tcPr>
          <w:p w14:paraId="29EC5CEE"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1984" w:type="dxa"/>
            <w:shd w:val="clear" w:color="auto" w:fill="1F497D" w:themeFill="text2"/>
            <w:vAlign w:val="center"/>
            <w:hideMark/>
          </w:tcPr>
          <w:p w14:paraId="6BB5E6A2"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276" w:type="dxa"/>
            <w:shd w:val="clear" w:color="auto" w:fill="1F497D" w:themeFill="text2"/>
            <w:vAlign w:val="center"/>
            <w:hideMark/>
          </w:tcPr>
          <w:p w14:paraId="3C5DBC54" w14:textId="4EBCC1BF" w:rsidR="001426FF" w:rsidRPr="001C66BD" w:rsidRDefault="001426FF" w:rsidP="000C401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sidR="000C401C">
              <w:rPr>
                <w:rFonts w:cs="Calibri"/>
                <w:b/>
                <w:bCs/>
                <w:color w:val="FFFFFF"/>
                <w:sz w:val="18"/>
                <w:szCs w:val="14"/>
                <w:lang w:val="es-CL" w:eastAsia="es-CL"/>
              </w:rPr>
              <w:t xml:space="preserve">usados para determinar Meta </w:t>
            </w:r>
            <w:r w:rsidR="00BD3F2F">
              <w:rPr>
                <w:rFonts w:cs="Calibri"/>
                <w:b/>
                <w:bCs/>
                <w:color w:val="FFFFFF"/>
                <w:sz w:val="18"/>
                <w:szCs w:val="14"/>
                <w:lang w:val="es-CL" w:eastAsia="es-CL"/>
              </w:rPr>
              <w:t>2018</w:t>
            </w:r>
            <w:r w:rsidR="00F81C02">
              <w:rPr>
                <w:rStyle w:val="Refdenotaalpie"/>
                <w:b/>
                <w:bCs/>
                <w:color w:val="FFFFFF"/>
                <w:sz w:val="18"/>
                <w:szCs w:val="14"/>
                <w:lang w:val="es-CL" w:eastAsia="es-CL"/>
              </w:rPr>
              <w:footnoteReference w:id="1"/>
            </w:r>
          </w:p>
        </w:tc>
        <w:tc>
          <w:tcPr>
            <w:tcW w:w="851" w:type="dxa"/>
            <w:tcBorders>
              <w:bottom w:val="single" w:sz="4" w:space="0" w:color="0000FF"/>
            </w:tcBorders>
            <w:shd w:val="clear" w:color="auto" w:fill="1F497D" w:themeFill="text2"/>
            <w:vAlign w:val="center"/>
            <w:hideMark/>
          </w:tcPr>
          <w:p w14:paraId="730EB682" w14:textId="77777777" w:rsidR="001426FF" w:rsidRPr="00140AE3" w:rsidRDefault="001426FF" w:rsidP="00A0335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167C8AD2" w14:textId="3F693D1E" w:rsidR="001426FF" w:rsidRPr="001C66BD" w:rsidRDefault="00BD3F2F" w:rsidP="00A0335C">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708" w:type="dxa"/>
            <w:shd w:val="clear" w:color="auto" w:fill="1F497D" w:themeFill="text2"/>
            <w:vAlign w:val="center"/>
          </w:tcPr>
          <w:p w14:paraId="42E65BDA" w14:textId="77777777" w:rsidR="001426FF" w:rsidRPr="001C66BD" w:rsidRDefault="001426FF" w:rsidP="00A0335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1F497D" w:themeFill="text2"/>
            <w:vAlign w:val="center"/>
            <w:hideMark/>
          </w:tcPr>
          <w:p w14:paraId="1A5E9190" w14:textId="7F13C527" w:rsidR="001426FF" w:rsidRPr="001C66BD" w:rsidRDefault="00140AE3" w:rsidP="00140AE3">
            <w:pPr>
              <w:jc w:val="center"/>
              <w:rPr>
                <w:rFonts w:cs="Calibri"/>
                <w:b/>
                <w:bCs/>
                <w:color w:val="FFFFFF"/>
                <w:sz w:val="18"/>
                <w:szCs w:val="14"/>
                <w:lang w:val="es-CL" w:eastAsia="es-CL"/>
              </w:rPr>
            </w:pPr>
            <w:r w:rsidRPr="00140AE3">
              <w:rPr>
                <w:rFonts w:cs="Calibri"/>
                <w:b/>
                <w:bCs/>
                <w:color w:val="FFFFFF"/>
                <w:sz w:val="22"/>
                <w:szCs w:val="14"/>
                <w:lang w:val="es-CL" w:eastAsia="es-CL"/>
              </w:rPr>
              <w:t>Resultad</w:t>
            </w:r>
            <w:r w:rsidR="002C0030" w:rsidRPr="00140AE3">
              <w:rPr>
                <w:rFonts w:cs="Calibri"/>
                <w:b/>
                <w:bCs/>
                <w:color w:val="FFFFFF"/>
                <w:sz w:val="22"/>
                <w:szCs w:val="14"/>
                <w:lang w:val="es-CL" w:eastAsia="es-CL"/>
              </w:rPr>
              <w:t xml:space="preserve">o  </w:t>
            </w:r>
            <w:r w:rsidR="003769A9" w:rsidRPr="00140AE3">
              <w:rPr>
                <w:rFonts w:cs="Calibri"/>
                <w:b/>
                <w:bCs/>
                <w:color w:val="FFFFFF"/>
                <w:sz w:val="22"/>
                <w:szCs w:val="14"/>
                <w:lang w:val="es-CL" w:eastAsia="es-CL"/>
              </w:rPr>
              <w:t xml:space="preserve"> Efectivo</w:t>
            </w:r>
            <w:r>
              <w:rPr>
                <w:rFonts w:cs="Calibri"/>
                <w:b/>
                <w:bCs/>
                <w:color w:val="FFFFFF"/>
                <w:sz w:val="22"/>
                <w:szCs w:val="14"/>
                <w:lang w:val="es-CL" w:eastAsia="es-CL"/>
              </w:rPr>
              <w:t xml:space="preserve"> </w:t>
            </w:r>
            <w:r w:rsidR="00BD3F2F">
              <w:rPr>
                <w:rFonts w:cs="Calibri"/>
                <w:b/>
                <w:bCs/>
                <w:color w:val="FFFFFF"/>
                <w:sz w:val="22"/>
                <w:szCs w:val="14"/>
                <w:lang w:val="es-CL" w:eastAsia="es-CL"/>
              </w:rPr>
              <w:t>2018</w:t>
            </w:r>
          </w:p>
        </w:tc>
        <w:tc>
          <w:tcPr>
            <w:tcW w:w="1276" w:type="dxa"/>
            <w:gridSpan w:val="2"/>
            <w:shd w:val="clear" w:color="auto" w:fill="1F497D" w:themeFill="text2"/>
            <w:vAlign w:val="center"/>
          </w:tcPr>
          <w:p w14:paraId="39031336" w14:textId="1581A421" w:rsidR="001426FF" w:rsidRPr="00236F5A" w:rsidRDefault="00140AE3" w:rsidP="00A0335C">
            <w:pPr>
              <w:jc w:val="center"/>
              <w:rPr>
                <w:rFonts w:cs="Calibri"/>
                <w:b/>
                <w:bCs/>
                <w:color w:val="FFFFFF"/>
                <w:sz w:val="22"/>
                <w:szCs w:val="14"/>
                <w:lang w:val="es-CL" w:eastAsia="es-CL"/>
              </w:rPr>
            </w:pPr>
            <w:r>
              <w:rPr>
                <w:rFonts w:cs="Calibri"/>
                <w:b/>
                <w:bCs/>
                <w:color w:val="FFFFFF"/>
                <w:sz w:val="22"/>
                <w:szCs w:val="14"/>
                <w:lang w:val="es-CL" w:eastAsia="es-CL"/>
              </w:rPr>
              <w:t>Valores</w:t>
            </w:r>
            <w:r w:rsidR="002C0030">
              <w:rPr>
                <w:rFonts w:cs="Calibri"/>
                <w:b/>
                <w:bCs/>
                <w:color w:val="FFFFFF"/>
                <w:sz w:val="22"/>
                <w:szCs w:val="14"/>
                <w:lang w:val="es-CL" w:eastAsia="es-CL"/>
              </w:rPr>
              <w:t xml:space="preserve"> Efectivo</w:t>
            </w:r>
            <w:r>
              <w:rPr>
                <w:rFonts w:cs="Calibri"/>
                <w:b/>
                <w:bCs/>
                <w:color w:val="FFFFFF"/>
                <w:sz w:val="22"/>
                <w:szCs w:val="14"/>
                <w:lang w:val="es-CL" w:eastAsia="es-CL"/>
              </w:rPr>
              <w:t xml:space="preserve">s </w:t>
            </w:r>
            <w:r w:rsidR="00BD3F2F">
              <w:rPr>
                <w:rFonts w:cs="Calibri"/>
                <w:b/>
                <w:bCs/>
                <w:color w:val="FFFFFF"/>
                <w:sz w:val="22"/>
                <w:szCs w:val="14"/>
                <w:lang w:val="es-CL" w:eastAsia="es-CL"/>
              </w:rPr>
              <w:t>2018</w:t>
            </w:r>
          </w:p>
        </w:tc>
        <w:tc>
          <w:tcPr>
            <w:tcW w:w="8787" w:type="dxa"/>
            <w:shd w:val="clear" w:color="auto" w:fill="1F497D" w:themeFill="text2"/>
            <w:vAlign w:val="center"/>
            <w:hideMark/>
          </w:tcPr>
          <w:p w14:paraId="4604C68C" w14:textId="77777777" w:rsidR="001426FF" w:rsidRPr="001C66BD" w:rsidRDefault="001426FF" w:rsidP="00A0335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4812EF" w:rsidRPr="00007E1F" w14:paraId="5B0D7317" w14:textId="77777777" w:rsidTr="004812EF">
        <w:trPr>
          <w:cantSplit/>
          <w:trHeight w:val="1731"/>
          <w:jc w:val="center"/>
        </w:trPr>
        <w:tc>
          <w:tcPr>
            <w:tcW w:w="568" w:type="dxa"/>
            <w:shd w:val="clear" w:color="000000" w:fill="FFFFFF"/>
            <w:vAlign w:val="center"/>
            <w:hideMark/>
          </w:tcPr>
          <w:p w14:paraId="37FF05DF" w14:textId="77777777" w:rsidR="001426FF" w:rsidRPr="007D007C" w:rsidRDefault="001426FF" w:rsidP="001426FF">
            <w:pPr>
              <w:jc w:val="center"/>
              <w:rPr>
                <w:rFonts w:ascii="Arial" w:hAnsi="Arial" w:cs="Arial"/>
                <w:b/>
                <w:sz w:val="22"/>
                <w:szCs w:val="18"/>
              </w:rPr>
            </w:pPr>
            <w:r w:rsidRPr="007D007C">
              <w:rPr>
                <w:rFonts w:ascii="Arial" w:hAnsi="Arial" w:cs="Arial"/>
                <w:b/>
                <w:sz w:val="22"/>
                <w:szCs w:val="18"/>
              </w:rPr>
              <w:t>1</w:t>
            </w:r>
          </w:p>
        </w:tc>
        <w:tc>
          <w:tcPr>
            <w:tcW w:w="1832" w:type="dxa"/>
            <w:shd w:val="clear" w:color="000000" w:fill="FFFFFF"/>
            <w:vAlign w:val="center"/>
          </w:tcPr>
          <w:p w14:paraId="4D90FD6C" w14:textId="77777777" w:rsidR="000C401C" w:rsidRPr="000C401C" w:rsidRDefault="000C401C" w:rsidP="00F44098">
            <w:pPr>
              <w:jc w:val="both"/>
              <w:rPr>
                <w:rFonts w:ascii="Arial" w:hAnsi="Arial" w:cs="Arial"/>
                <w:szCs w:val="18"/>
              </w:rPr>
            </w:pPr>
            <w:r w:rsidRPr="000C401C">
              <w:rPr>
                <w:rFonts w:ascii="Arial" w:hAnsi="Arial" w:cs="Arial"/>
                <w:szCs w:val="18"/>
              </w:rPr>
              <w:t xml:space="preserve">Porcentaje de iniciativas de inversión evaluadas en los plazos establecidos por el </w:t>
            </w:r>
            <w:r w:rsidRPr="000C401C">
              <w:rPr>
                <w:rFonts w:ascii="Arial" w:hAnsi="Arial" w:cs="Arial"/>
                <w:bCs/>
                <w:szCs w:val="18"/>
              </w:rPr>
              <w:t>Sistema Nacional de Inversiones (</w:t>
            </w:r>
            <w:r w:rsidRPr="000C401C">
              <w:rPr>
                <w:rFonts w:ascii="Arial" w:hAnsi="Arial" w:cs="Arial"/>
                <w:szCs w:val="18"/>
              </w:rPr>
              <w:t>SNI) durante el año t</w:t>
            </w:r>
            <w:r w:rsidR="001004B2">
              <w:rPr>
                <w:rFonts w:ascii="Arial" w:hAnsi="Arial" w:cs="Arial"/>
                <w:szCs w:val="18"/>
              </w:rPr>
              <w:t>; respecto del total de iniciativas ingresadas al SNI durante el año t</w:t>
            </w:r>
            <w:r w:rsidRPr="000C401C">
              <w:rPr>
                <w:rFonts w:ascii="Arial" w:hAnsi="Arial" w:cs="Arial"/>
                <w:szCs w:val="18"/>
              </w:rPr>
              <w:t>.</w:t>
            </w:r>
          </w:p>
          <w:p w14:paraId="4E570807" w14:textId="77777777" w:rsidR="001426FF" w:rsidRPr="007D007C" w:rsidRDefault="001426FF" w:rsidP="00F44098">
            <w:pPr>
              <w:jc w:val="both"/>
              <w:rPr>
                <w:rFonts w:ascii="Arial" w:hAnsi="Arial" w:cs="Arial"/>
                <w:szCs w:val="18"/>
              </w:rPr>
            </w:pPr>
          </w:p>
        </w:tc>
        <w:tc>
          <w:tcPr>
            <w:tcW w:w="1984" w:type="dxa"/>
            <w:shd w:val="clear" w:color="000000" w:fill="FFFFFF"/>
            <w:vAlign w:val="center"/>
          </w:tcPr>
          <w:p w14:paraId="7BDBCEAE" w14:textId="77777777" w:rsidR="001426FF" w:rsidRPr="007D007C" w:rsidRDefault="000C401C" w:rsidP="00F44098">
            <w:pPr>
              <w:jc w:val="both"/>
              <w:rPr>
                <w:rFonts w:ascii="Arial" w:hAnsi="Arial" w:cs="Arial"/>
                <w:szCs w:val="18"/>
              </w:rPr>
            </w:pPr>
            <w:r w:rsidRPr="000C401C">
              <w:rPr>
                <w:rFonts w:ascii="Arial" w:hAnsi="Arial" w:cs="Arial"/>
                <w:bCs/>
                <w:szCs w:val="18"/>
              </w:rPr>
              <w:t>(N° de iniciativas evaluadas en los plazos establ</w:t>
            </w:r>
            <w:r w:rsidR="003E4B8F">
              <w:rPr>
                <w:rFonts w:ascii="Arial" w:hAnsi="Arial" w:cs="Arial"/>
                <w:bCs/>
                <w:szCs w:val="18"/>
              </w:rPr>
              <w:t>ecidos por el S</w:t>
            </w:r>
            <w:r w:rsidR="001004B2">
              <w:rPr>
                <w:rFonts w:ascii="Arial" w:hAnsi="Arial" w:cs="Arial"/>
                <w:bCs/>
                <w:szCs w:val="18"/>
              </w:rPr>
              <w:t xml:space="preserve">istema </w:t>
            </w:r>
            <w:r w:rsidR="003E4B8F">
              <w:rPr>
                <w:rFonts w:ascii="Arial" w:hAnsi="Arial" w:cs="Arial"/>
                <w:bCs/>
                <w:szCs w:val="18"/>
              </w:rPr>
              <w:t>N</w:t>
            </w:r>
            <w:r w:rsidR="001004B2">
              <w:rPr>
                <w:rFonts w:ascii="Arial" w:hAnsi="Arial" w:cs="Arial"/>
                <w:bCs/>
                <w:szCs w:val="18"/>
              </w:rPr>
              <w:t xml:space="preserve">acional de </w:t>
            </w:r>
            <w:r w:rsidR="003E4B8F">
              <w:rPr>
                <w:rFonts w:ascii="Arial" w:hAnsi="Arial" w:cs="Arial"/>
                <w:bCs/>
                <w:szCs w:val="18"/>
              </w:rPr>
              <w:t>I</w:t>
            </w:r>
            <w:r w:rsidR="001004B2">
              <w:rPr>
                <w:rFonts w:ascii="Arial" w:hAnsi="Arial" w:cs="Arial"/>
                <w:bCs/>
                <w:szCs w:val="18"/>
              </w:rPr>
              <w:t>nversiones (SNI)</w:t>
            </w:r>
            <w:r w:rsidR="003E4B8F">
              <w:rPr>
                <w:rFonts w:ascii="Arial" w:hAnsi="Arial" w:cs="Arial"/>
                <w:bCs/>
                <w:szCs w:val="18"/>
              </w:rPr>
              <w:t xml:space="preserve"> en el año t / </w:t>
            </w:r>
            <w:r w:rsidRPr="000C401C">
              <w:rPr>
                <w:rFonts w:ascii="Arial" w:hAnsi="Arial" w:cs="Arial"/>
                <w:bCs/>
                <w:szCs w:val="18"/>
              </w:rPr>
              <w:t>N° total de iniciativas ingresadas al S</w:t>
            </w:r>
            <w:r w:rsidR="001004B2">
              <w:rPr>
                <w:rFonts w:ascii="Arial" w:hAnsi="Arial" w:cs="Arial"/>
                <w:bCs/>
                <w:szCs w:val="18"/>
              </w:rPr>
              <w:t xml:space="preserve">istema </w:t>
            </w:r>
            <w:r w:rsidRPr="000C401C">
              <w:rPr>
                <w:rFonts w:ascii="Arial" w:hAnsi="Arial" w:cs="Arial"/>
                <w:bCs/>
                <w:szCs w:val="18"/>
              </w:rPr>
              <w:t>N</w:t>
            </w:r>
            <w:r w:rsidR="001004B2">
              <w:rPr>
                <w:rFonts w:ascii="Arial" w:hAnsi="Arial" w:cs="Arial"/>
                <w:bCs/>
                <w:szCs w:val="18"/>
              </w:rPr>
              <w:t xml:space="preserve">acional de </w:t>
            </w:r>
            <w:r w:rsidRPr="000C401C">
              <w:rPr>
                <w:rFonts w:ascii="Arial" w:hAnsi="Arial" w:cs="Arial"/>
                <w:bCs/>
                <w:szCs w:val="18"/>
              </w:rPr>
              <w:t>I</w:t>
            </w:r>
            <w:r w:rsidR="001004B2">
              <w:rPr>
                <w:rFonts w:ascii="Arial" w:hAnsi="Arial" w:cs="Arial"/>
                <w:bCs/>
                <w:szCs w:val="18"/>
              </w:rPr>
              <w:t>nversiones (SNI)</w:t>
            </w:r>
            <w:r w:rsidRPr="000C401C">
              <w:rPr>
                <w:rFonts w:ascii="Arial" w:hAnsi="Arial" w:cs="Arial"/>
                <w:bCs/>
                <w:szCs w:val="18"/>
              </w:rPr>
              <w:t xml:space="preserve"> durante el año t) *100</w:t>
            </w:r>
          </w:p>
        </w:tc>
        <w:tc>
          <w:tcPr>
            <w:tcW w:w="1276" w:type="dxa"/>
            <w:shd w:val="clear" w:color="000000" w:fill="FFFFFF"/>
            <w:vAlign w:val="center"/>
          </w:tcPr>
          <w:p w14:paraId="3A94D6C2" w14:textId="7C94F391" w:rsidR="001426FF" w:rsidRPr="00592C80" w:rsidRDefault="001004B2" w:rsidP="001004B2">
            <w:pPr>
              <w:jc w:val="center"/>
              <w:rPr>
                <w:rFonts w:ascii="Arial" w:hAnsi="Arial" w:cs="Arial"/>
                <w:color w:val="000000"/>
                <w:szCs w:val="16"/>
              </w:rPr>
            </w:pPr>
            <w:r>
              <w:rPr>
                <w:rFonts w:ascii="Arial" w:hAnsi="Arial" w:cs="Arial"/>
                <w:color w:val="000000"/>
                <w:szCs w:val="16"/>
              </w:rPr>
              <w:t>2.8</w:t>
            </w:r>
            <w:r w:rsidR="00E43A5A">
              <w:rPr>
                <w:rFonts w:ascii="Arial" w:hAnsi="Arial" w:cs="Arial"/>
                <w:color w:val="000000"/>
                <w:szCs w:val="16"/>
              </w:rPr>
              <w:t>81</w:t>
            </w:r>
            <w:r w:rsidR="00EA537C" w:rsidRPr="00592C80">
              <w:rPr>
                <w:rFonts w:ascii="Arial" w:hAnsi="Arial" w:cs="Arial"/>
                <w:color w:val="000000"/>
                <w:szCs w:val="16"/>
              </w:rPr>
              <w:t xml:space="preserve"> / </w:t>
            </w:r>
            <w:r>
              <w:rPr>
                <w:rFonts w:ascii="Arial" w:hAnsi="Arial" w:cs="Arial"/>
                <w:color w:val="000000"/>
                <w:szCs w:val="16"/>
              </w:rPr>
              <w:t>2.9</w:t>
            </w:r>
            <w:r w:rsidR="00B4607B">
              <w:rPr>
                <w:rFonts w:ascii="Arial" w:hAnsi="Arial" w:cs="Arial"/>
                <w:color w:val="000000"/>
                <w:szCs w:val="16"/>
              </w:rPr>
              <w:t>40</w:t>
            </w:r>
          </w:p>
        </w:tc>
        <w:tc>
          <w:tcPr>
            <w:tcW w:w="851" w:type="dxa"/>
            <w:shd w:val="clear" w:color="auto" w:fill="FFFFFF"/>
            <w:vAlign w:val="center"/>
          </w:tcPr>
          <w:p w14:paraId="7AFF9987" w14:textId="01FC2D98" w:rsidR="001426FF" w:rsidRPr="007D007C" w:rsidRDefault="001426FF" w:rsidP="001426FF">
            <w:pPr>
              <w:jc w:val="center"/>
              <w:rPr>
                <w:rFonts w:ascii="Arial" w:hAnsi="Arial" w:cs="Arial"/>
                <w:szCs w:val="18"/>
              </w:rPr>
            </w:pPr>
            <w:r w:rsidRPr="007D007C">
              <w:rPr>
                <w:rFonts w:ascii="Arial" w:hAnsi="Arial" w:cs="Arial"/>
                <w:szCs w:val="18"/>
              </w:rPr>
              <w:t>9</w:t>
            </w:r>
            <w:r w:rsidR="00B4607B">
              <w:rPr>
                <w:rFonts w:ascii="Arial" w:hAnsi="Arial" w:cs="Arial"/>
                <w:szCs w:val="18"/>
              </w:rPr>
              <w:t>8</w:t>
            </w:r>
            <w:r w:rsidRPr="007D007C">
              <w:rPr>
                <w:rFonts w:ascii="Arial" w:hAnsi="Arial" w:cs="Arial"/>
                <w:szCs w:val="18"/>
              </w:rPr>
              <w:t>%</w:t>
            </w:r>
          </w:p>
        </w:tc>
        <w:tc>
          <w:tcPr>
            <w:tcW w:w="708" w:type="dxa"/>
            <w:shd w:val="clear" w:color="000000" w:fill="FFFFFF"/>
            <w:vAlign w:val="center"/>
          </w:tcPr>
          <w:p w14:paraId="3AB1D411" w14:textId="77777777" w:rsidR="001426FF" w:rsidRPr="007D007C" w:rsidRDefault="001426FF" w:rsidP="001426FF">
            <w:pPr>
              <w:jc w:val="center"/>
              <w:rPr>
                <w:rFonts w:ascii="Arial" w:hAnsi="Arial" w:cs="Arial"/>
                <w:szCs w:val="18"/>
              </w:rPr>
            </w:pPr>
            <w:r w:rsidRPr="007D007C">
              <w:rPr>
                <w:rFonts w:ascii="Arial" w:hAnsi="Arial" w:cs="Arial"/>
                <w:szCs w:val="18"/>
              </w:rPr>
              <w:t>%</w:t>
            </w:r>
          </w:p>
        </w:tc>
        <w:tc>
          <w:tcPr>
            <w:tcW w:w="1134" w:type="dxa"/>
            <w:shd w:val="clear" w:color="000000" w:fill="FFFFFF"/>
            <w:vAlign w:val="center"/>
          </w:tcPr>
          <w:p w14:paraId="53216C1D" w14:textId="77777777" w:rsidR="001426FF" w:rsidRPr="00E43A5A" w:rsidRDefault="008360B2" w:rsidP="005151D3">
            <w:pPr>
              <w:jc w:val="center"/>
              <w:rPr>
                <w:rFonts w:ascii="Arial" w:hAnsi="Arial" w:cs="Arial"/>
                <w:szCs w:val="18"/>
              </w:rPr>
            </w:pPr>
            <w:r w:rsidRPr="00E43A5A">
              <w:rPr>
                <w:rFonts w:ascii="Arial" w:hAnsi="Arial" w:cs="Arial"/>
                <w:b/>
                <w:szCs w:val="18"/>
              </w:rPr>
              <w:t>100</w:t>
            </w:r>
            <w:r w:rsidR="003769A9" w:rsidRPr="00E43A5A">
              <w:rPr>
                <w:rFonts w:ascii="Arial" w:hAnsi="Arial" w:cs="Arial"/>
                <w:b/>
                <w:szCs w:val="18"/>
              </w:rPr>
              <w:t>%</w:t>
            </w:r>
            <w:r w:rsidR="003769A9" w:rsidRPr="00E43A5A">
              <w:rPr>
                <w:rFonts w:ascii="Arial" w:hAnsi="Arial" w:cs="Arial"/>
                <w:szCs w:val="18"/>
              </w:rPr>
              <w:t xml:space="preserve">           </w:t>
            </w:r>
          </w:p>
        </w:tc>
        <w:tc>
          <w:tcPr>
            <w:tcW w:w="1276" w:type="dxa"/>
            <w:gridSpan w:val="2"/>
            <w:shd w:val="clear" w:color="000000" w:fill="FFFFFF"/>
            <w:vAlign w:val="center"/>
          </w:tcPr>
          <w:p w14:paraId="443D6981" w14:textId="34CF40E8" w:rsidR="001426FF" w:rsidRPr="00E43A5A" w:rsidRDefault="001004B2" w:rsidP="005151D3">
            <w:pPr>
              <w:jc w:val="center"/>
              <w:rPr>
                <w:rFonts w:ascii="Arial" w:hAnsi="Arial" w:cs="Arial"/>
                <w:b/>
                <w:szCs w:val="18"/>
              </w:rPr>
            </w:pPr>
            <w:r w:rsidRPr="00E43A5A">
              <w:rPr>
                <w:rFonts w:ascii="Arial" w:hAnsi="Arial" w:cs="Arial"/>
                <w:b/>
                <w:szCs w:val="18"/>
              </w:rPr>
              <w:t>2.</w:t>
            </w:r>
            <w:r w:rsidR="00E43A5A" w:rsidRPr="00E43A5A">
              <w:rPr>
                <w:rFonts w:ascii="Arial" w:hAnsi="Arial" w:cs="Arial"/>
                <w:b/>
                <w:szCs w:val="18"/>
              </w:rPr>
              <w:t>593</w:t>
            </w:r>
            <w:r w:rsidR="00140AE3" w:rsidRPr="00E43A5A">
              <w:rPr>
                <w:rFonts w:ascii="Arial" w:hAnsi="Arial" w:cs="Arial"/>
                <w:b/>
                <w:szCs w:val="18"/>
              </w:rPr>
              <w:t xml:space="preserve"> </w:t>
            </w:r>
            <w:r w:rsidR="002C0030" w:rsidRPr="00E43A5A">
              <w:rPr>
                <w:rFonts w:ascii="Arial" w:hAnsi="Arial" w:cs="Arial"/>
                <w:b/>
                <w:szCs w:val="18"/>
              </w:rPr>
              <w:t>/</w:t>
            </w:r>
            <w:r w:rsidR="00D8430D" w:rsidRPr="00E43A5A">
              <w:rPr>
                <w:rFonts w:ascii="Arial" w:hAnsi="Arial" w:cs="Arial"/>
                <w:b/>
                <w:szCs w:val="18"/>
              </w:rPr>
              <w:t xml:space="preserve"> 2</w:t>
            </w:r>
            <w:r w:rsidR="005151D3" w:rsidRPr="00E43A5A">
              <w:rPr>
                <w:rFonts w:ascii="Arial" w:hAnsi="Arial" w:cs="Arial"/>
                <w:b/>
                <w:szCs w:val="18"/>
              </w:rPr>
              <w:t>.6</w:t>
            </w:r>
            <w:r w:rsidR="00E43A5A" w:rsidRPr="00E43A5A">
              <w:rPr>
                <w:rFonts w:ascii="Arial" w:hAnsi="Arial" w:cs="Arial"/>
                <w:b/>
                <w:szCs w:val="18"/>
              </w:rPr>
              <w:t>04</w:t>
            </w:r>
          </w:p>
        </w:tc>
        <w:tc>
          <w:tcPr>
            <w:tcW w:w="8787" w:type="dxa"/>
            <w:shd w:val="clear" w:color="000000" w:fill="FFFFFF"/>
            <w:noWrap/>
            <w:vAlign w:val="center"/>
          </w:tcPr>
          <w:p w14:paraId="11479632" w14:textId="77777777" w:rsidR="00BD3F2F" w:rsidRPr="00B4607B" w:rsidRDefault="00BD3F2F" w:rsidP="004812EF">
            <w:pPr>
              <w:jc w:val="both"/>
              <w:rPr>
                <w:rFonts w:ascii="Arial" w:hAnsi="Arial" w:cs="Arial"/>
                <w:sz w:val="18"/>
                <w:szCs w:val="16"/>
              </w:rPr>
            </w:pPr>
            <w:r w:rsidRPr="00B4607B">
              <w:rPr>
                <w:rFonts w:ascii="Arial" w:hAnsi="Arial" w:cs="Arial"/>
                <w:sz w:val="18"/>
                <w:szCs w:val="16"/>
              </w:rPr>
              <w:t xml:space="preserve">Indicador que mide que la evaluación de las iniciativas de inversión que ingresan al Sistema Nacional de Inversiones, se realicen en los plazos establecidos en la normativa vigente. </w:t>
            </w:r>
          </w:p>
          <w:p w14:paraId="69ED49DF" w14:textId="77777777" w:rsidR="00B4607B" w:rsidRPr="00B4607B" w:rsidRDefault="00BD3F2F" w:rsidP="004812EF">
            <w:pPr>
              <w:jc w:val="both"/>
              <w:rPr>
                <w:rFonts w:ascii="Arial" w:hAnsi="Arial" w:cs="Arial"/>
                <w:sz w:val="18"/>
                <w:szCs w:val="16"/>
              </w:rPr>
            </w:pPr>
            <w:r w:rsidRPr="00B4607B">
              <w:rPr>
                <w:rFonts w:ascii="Arial" w:hAnsi="Arial" w:cs="Arial"/>
                <w:sz w:val="18"/>
                <w:szCs w:val="16"/>
              </w:rPr>
              <w:t xml:space="preserve">a) El plazo máximo para ingresar el primer RATE está establecido en el documento Normas, Instrucciones y Procedimientos de Inversión Pública, Capítulo 2 Proceso de Presentación de Iniciativas, sección 2.1 Plazos y Registros, válido para el proceso presupuestario vigente. </w:t>
            </w:r>
          </w:p>
          <w:p w14:paraId="2CEB037A" w14:textId="77777777" w:rsidR="00B4607B" w:rsidRPr="00B4607B" w:rsidRDefault="00BD3F2F" w:rsidP="004812EF">
            <w:pPr>
              <w:jc w:val="both"/>
              <w:rPr>
                <w:rFonts w:ascii="Arial" w:hAnsi="Arial" w:cs="Arial"/>
                <w:sz w:val="18"/>
                <w:szCs w:val="16"/>
              </w:rPr>
            </w:pPr>
            <w:r w:rsidRPr="00B4607B">
              <w:rPr>
                <w:rFonts w:ascii="Arial" w:hAnsi="Arial" w:cs="Arial"/>
                <w:sz w:val="18"/>
                <w:szCs w:val="16"/>
              </w:rPr>
              <w:t xml:space="preserve">b) No se considerarán para la medición del indicador aquellas iniciativas afectas a motivos caso fortuito o fuerza mayor, o aquellas que por su envergadura y/o complejidad, sean autorizadas por la Jefatura de la División de Evaluación Social de Inversiones, para contar con un plazo de evaluación superior a 10 días (Iniciativas de alta envergadura y/o complejidad son aquellas que durante el período de análisis, por su concepción técnico económica, requieren de visitas a terreno e involucran mayor interacción con el formulador, de manera que aquello permita emitir un informe de evaluación completo y fundamentado). </w:t>
            </w:r>
          </w:p>
          <w:p w14:paraId="4C5B064C" w14:textId="4F37DB75" w:rsidR="001426FF" w:rsidRPr="007D007C" w:rsidRDefault="00BD3F2F" w:rsidP="004812EF">
            <w:pPr>
              <w:jc w:val="both"/>
              <w:rPr>
                <w:rFonts w:ascii="Arial" w:hAnsi="Arial" w:cs="Arial"/>
                <w:szCs w:val="18"/>
              </w:rPr>
            </w:pPr>
            <w:r w:rsidRPr="00B4607B">
              <w:rPr>
                <w:rFonts w:ascii="Arial" w:hAnsi="Arial" w:cs="Arial"/>
                <w:sz w:val="18"/>
                <w:szCs w:val="16"/>
              </w:rPr>
              <w:t>El universo de este indicador comprenderá las IDI nuevas ingresadas durante el año t (excluyendo las iniciativas a las que se les otorgó un plazo mayor para su análisis, en concordancia con lo señalado en el punto b), correspondientes a los procesos presupuestarios t y t+1, que fueron evaluadas por los analistas de inversión de todo el país (RATE manual).</w:t>
            </w:r>
          </w:p>
        </w:tc>
      </w:tr>
      <w:tr w:rsidR="00B4607B" w:rsidRPr="00007E1F" w14:paraId="6CAEF2B2" w14:textId="77777777" w:rsidTr="004812EF">
        <w:trPr>
          <w:cantSplit/>
          <w:trHeight w:val="439"/>
          <w:jc w:val="center"/>
        </w:trPr>
        <w:tc>
          <w:tcPr>
            <w:tcW w:w="568" w:type="dxa"/>
            <w:shd w:val="clear" w:color="000000" w:fill="FFFFFF"/>
            <w:vAlign w:val="center"/>
          </w:tcPr>
          <w:p w14:paraId="7AA42F4D" w14:textId="350ED0F1" w:rsidR="00B4607B" w:rsidRDefault="00B4607B" w:rsidP="00B4607B">
            <w:pPr>
              <w:jc w:val="center"/>
              <w:rPr>
                <w:rFonts w:ascii="Arial" w:hAnsi="Arial" w:cs="Arial"/>
                <w:b/>
                <w:sz w:val="22"/>
                <w:szCs w:val="18"/>
              </w:rPr>
            </w:pPr>
            <w:r>
              <w:rPr>
                <w:rFonts w:ascii="Arial" w:hAnsi="Arial" w:cs="Arial"/>
                <w:b/>
                <w:sz w:val="22"/>
                <w:szCs w:val="18"/>
              </w:rPr>
              <w:lastRenderedPageBreak/>
              <w:t>2</w:t>
            </w:r>
          </w:p>
        </w:tc>
        <w:tc>
          <w:tcPr>
            <w:tcW w:w="1832" w:type="dxa"/>
            <w:shd w:val="clear" w:color="000000" w:fill="FFFFFF"/>
            <w:vAlign w:val="center"/>
          </w:tcPr>
          <w:p w14:paraId="07B7A918" w14:textId="1A682980" w:rsidR="00B4607B" w:rsidRPr="007D007C" w:rsidRDefault="00B4607B" w:rsidP="00B4607B">
            <w:pPr>
              <w:jc w:val="both"/>
              <w:rPr>
                <w:rFonts w:ascii="Arial" w:hAnsi="Arial" w:cs="Arial"/>
                <w:szCs w:val="18"/>
              </w:rPr>
            </w:pPr>
            <w:r w:rsidRPr="004A3100">
              <w:rPr>
                <w:rFonts w:ascii="Arial" w:hAnsi="Arial" w:cs="Arial"/>
                <w:szCs w:val="18"/>
                <w:lang w:val="es-CL"/>
              </w:rPr>
              <w:t xml:space="preserve">Porcentaje de </w:t>
            </w:r>
            <w:r w:rsidR="00C03063" w:rsidRPr="004A3100">
              <w:rPr>
                <w:rFonts w:ascii="Arial" w:hAnsi="Arial" w:cs="Arial"/>
                <w:szCs w:val="18"/>
                <w:lang w:val="es-CL"/>
              </w:rPr>
              <w:t>Programas Sociales</w:t>
            </w:r>
            <w:r>
              <w:rPr>
                <w:rFonts w:ascii="Arial" w:hAnsi="Arial" w:cs="Arial"/>
                <w:szCs w:val="18"/>
                <w:lang w:val="es-CL"/>
              </w:rPr>
              <w:t xml:space="preserve"> nuevos o reformulados ingresados al proceso de evaluación, que cuentan Informes de Recomendación en un plazo igual o menor a 30 días hábiles, desde su fecha de ingreso en el año t.</w:t>
            </w:r>
          </w:p>
        </w:tc>
        <w:tc>
          <w:tcPr>
            <w:tcW w:w="1984" w:type="dxa"/>
            <w:shd w:val="clear" w:color="000000" w:fill="FFFFFF"/>
            <w:vAlign w:val="center"/>
          </w:tcPr>
          <w:p w14:paraId="2BDEA49C" w14:textId="6E4507EF" w:rsidR="00B4607B" w:rsidRPr="007D007C" w:rsidRDefault="00B4607B" w:rsidP="00B4607B">
            <w:pPr>
              <w:jc w:val="both"/>
              <w:rPr>
                <w:rFonts w:ascii="Arial" w:hAnsi="Arial" w:cs="Arial"/>
                <w:szCs w:val="18"/>
              </w:rPr>
            </w:pPr>
            <w:r w:rsidRPr="004A3100">
              <w:rPr>
                <w:rFonts w:ascii="Arial" w:hAnsi="Arial" w:cs="Arial"/>
                <w:szCs w:val="18"/>
                <w:lang w:val="es-CL"/>
              </w:rPr>
              <w:t>(N° de Programas Sociales</w:t>
            </w:r>
            <w:r>
              <w:rPr>
                <w:rFonts w:ascii="Arial" w:hAnsi="Arial" w:cs="Arial"/>
                <w:szCs w:val="18"/>
                <w:lang w:val="es-CL"/>
              </w:rPr>
              <w:t xml:space="preserve"> nuevos o reformulados ingresados al proceso de evaluación que cuentan </w:t>
            </w:r>
            <w:r w:rsidR="00C03063">
              <w:rPr>
                <w:rFonts w:ascii="Arial" w:hAnsi="Arial" w:cs="Arial"/>
                <w:szCs w:val="18"/>
                <w:lang w:val="es-CL"/>
              </w:rPr>
              <w:t>con Informes</w:t>
            </w:r>
            <w:r>
              <w:rPr>
                <w:rFonts w:ascii="Arial" w:hAnsi="Arial" w:cs="Arial"/>
                <w:szCs w:val="18"/>
                <w:lang w:val="es-CL"/>
              </w:rPr>
              <w:t xml:space="preserve"> de Recomendación en un plazo igual o menor a 30 días hábiles desde su fecha de ingreso en el año t</w:t>
            </w:r>
            <w:r w:rsidRPr="004A3100">
              <w:rPr>
                <w:rFonts w:ascii="Arial" w:hAnsi="Arial" w:cs="Arial"/>
                <w:szCs w:val="18"/>
                <w:lang w:val="es-CL"/>
              </w:rPr>
              <w:t xml:space="preserve"> / N°  </w:t>
            </w:r>
            <w:r>
              <w:rPr>
                <w:rFonts w:ascii="Arial" w:hAnsi="Arial" w:cs="Arial"/>
                <w:szCs w:val="18"/>
                <w:lang w:val="es-CL"/>
              </w:rPr>
              <w:t>total de Programas</w:t>
            </w:r>
            <w:r w:rsidRPr="004A3100">
              <w:rPr>
                <w:rFonts w:ascii="Arial" w:hAnsi="Arial" w:cs="Arial"/>
                <w:szCs w:val="18"/>
                <w:lang w:val="es-CL"/>
              </w:rPr>
              <w:t xml:space="preserve"> Sociales</w:t>
            </w:r>
            <w:r>
              <w:rPr>
                <w:rFonts w:ascii="Arial" w:hAnsi="Arial" w:cs="Arial"/>
                <w:szCs w:val="18"/>
                <w:lang w:val="es-CL"/>
              </w:rPr>
              <w:t xml:space="preserve"> nuevos o reformulados ingresados en el proceso de evaluación en el</w:t>
            </w:r>
            <w:r w:rsidRPr="004A3100">
              <w:rPr>
                <w:rFonts w:ascii="Arial" w:hAnsi="Arial" w:cs="Arial"/>
                <w:szCs w:val="18"/>
                <w:lang w:val="es-CL"/>
              </w:rPr>
              <w:t xml:space="preserve"> año t) * 100</w:t>
            </w:r>
          </w:p>
        </w:tc>
        <w:tc>
          <w:tcPr>
            <w:tcW w:w="1276" w:type="dxa"/>
            <w:shd w:val="clear" w:color="000000" w:fill="FFFFFF"/>
            <w:vAlign w:val="center"/>
          </w:tcPr>
          <w:p w14:paraId="175DB291" w14:textId="5AF99DDE" w:rsidR="00B4607B" w:rsidRDefault="00B4607B" w:rsidP="00B4607B">
            <w:pPr>
              <w:jc w:val="center"/>
              <w:rPr>
                <w:rFonts w:ascii="Arial" w:hAnsi="Arial" w:cs="Arial"/>
                <w:bCs/>
                <w:szCs w:val="16"/>
              </w:rPr>
            </w:pPr>
            <w:r>
              <w:rPr>
                <w:rFonts w:ascii="Arial" w:hAnsi="Arial" w:cs="Arial"/>
                <w:color w:val="000000"/>
                <w:szCs w:val="16"/>
              </w:rPr>
              <w:t xml:space="preserve">59 </w:t>
            </w:r>
            <w:r w:rsidRPr="00592C80">
              <w:rPr>
                <w:rFonts w:ascii="Arial" w:hAnsi="Arial" w:cs="Arial"/>
                <w:color w:val="000000"/>
                <w:szCs w:val="16"/>
              </w:rPr>
              <w:t>/</w:t>
            </w:r>
            <w:r>
              <w:rPr>
                <w:rFonts w:ascii="Arial" w:hAnsi="Arial" w:cs="Arial"/>
                <w:color w:val="000000"/>
                <w:szCs w:val="16"/>
              </w:rPr>
              <w:t xml:space="preserve"> 59</w:t>
            </w:r>
          </w:p>
        </w:tc>
        <w:tc>
          <w:tcPr>
            <w:tcW w:w="851" w:type="dxa"/>
            <w:shd w:val="clear" w:color="auto" w:fill="FFFFFF"/>
            <w:vAlign w:val="center"/>
          </w:tcPr>
          <w:p w14:paraId="00981981" w14:textId="352A2AB6" w:rsidR="00B4607B" w:rsidRDefault="00B4607B" w:rsidP="00B4607B">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66171F83" w14:textId="2DB56987" w:rsidR="00B4607B" w:rsidRPr="007D007C" w:rsidRDefault="00B4607B" w:rsidP="00B4607B">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2020C088" w14:textId="239E189E" w:rsidR="00B4607B" w:rsidRPr="00E43A5A" w:rsidRDefault="00B4607B" w:rsidP="00B4607B">
            <w:pPr>
              <w:jc w:val="center"/>
              <w:rPr>
                <w:rFonts w:ascii="Arial" w:hAnsi="Arial" w:cs="Arial"/>
                <w:b/>
                <w:szCs w:val="18"/>
              </w:rPr>
            </w:pPr>
            <w:r w:rsidRPr="00E43A5A">
              <w:rPr>
                <w:rFonts w:ascii="Arial" w:hAnsi="Arial" w:cs="Arial"/>
                <w:b/>
                <w:szCs w:val="18"/>
              </w:rPr>
              <w:t>100%</w:t>
            </w:r>
          </w:p>
        </w:tc>
        <w:tc>
          <w:tcPr>
            <w:tcW w:w="1276" w:type="dxa"/>
            <w:gridSpan w:val="2"/>
            <w:shd w:val="clear" w:color="000000" w:fill="FFFFFF"/>
            <w:vAlign w:val="center"/>
          </w:tcPr>
          <w:p w14:paraId="2386DB7A" w14:textId="71B8DC8D" w:rsidR="00B4607B" w:rsidRPr="00E43A5A" w:rsidRDefault="00E43A5A" w:rsidP="00B4607B">
            <w:pPr>
              <w:jc w:val="center"/>
              <w:rPr>
                <w:rFonts w:ascii="Arial" w:hAnsi="Arial" w:cs="Arial"/>
                <w:b/>
                <w:szCs w:val="18"/>
              </w:rPr>
            </w:pPr>
            <w:r w:rsidRPr="00E43A5A">
              <w:rPr>
                <w:rFonts w:ascii="Arial" w:hAnsi="Arial" w:cs="Arial"/>
                <w:b/>
                <w:szCs w:val="18"/>
              </w:rPr>
              <w:t>113</w:t>
            </w:r>
            <w:r w:rsidR="00B4607B" w:rsidRPr="00E43A5A">
              <w:rPr>
                <w:rFonts w:ascii="Arial" w:hAnsi="Arial" w:cs="Arial"/>
                <w:b/>
                <w:szCs w:val="18"/>
              </w:rPr>
              <w:t xml:space="preserve"> / </w:t>
            </w:r>
            <w:r w:rsidRPr="00E43A5A">
              <w:rPr>
                <w:rFonts w:ascii="Arial" w:hAnsi="Arial" w:cs="Arial"/>
                <w:b/>
                <w:szCs w:val="18"/>
              </w:rPr>
              <w:t>113</w:t>
            </w:r>
          </w:p>
        </w:tc>
        <w:tc>
          <w:tcPr>
            <w:tcW w:w="8787" w:type="dxa"/>
            <w:shd w:val="clear" w:color="000000" w:fill="FFFFFF"/>
            <w:noWrap/>
            <w:vAlign w:val="center"/>
          </w:tcPr>
          <w:p w14:paraId="754A31DD" w14:textId="77777777" w:rsidR="00B4607B" w:rsidRPr="00E43A5A" w:rsidRDefault="00B4607B" w:rsidP="00B4607B">
            <w:pPr>
              <w:jc w:val="both"/>
              <w:rPr>
                <w:rFonts w:ascii="Arial" w:hAnsi="Arial" w:cs="Arial"/>
                <w:bCs/>
                <w:szCs w:val="18"/>
                <w:lang w:val="es-CL"/>
              </w:rPr>
            </w:pPr>
            <w:r w:rsidRPr="00E43A5A">
              <w:rPr>
                <w:rFonts w:ascii="Arial" w:hAnsi="Arial" w:cs="Arial"/>
                <w:bCs/>
                <w:szCs w:val="18"/>
                <w:lang w:val="es-CL"/>
              </w:rPr>
              <w:t>a) Se considerarán en el indicador los programas que cumplen con la definición de Programa Social establecida en el artículo N° 2 de la Ley N° 20.530, que solicitan evaluación durante el período previo a la discusión presupuestaria del año t+1, desde la fecha de apertura del proceso  establecida por el Oficio que informa los requerimientos y plazos de evaluación, emitido por la Subsecretaria de Evaluación Social, hasta la aprobación de la Ley de Presupuestos del año t+1, el día 30 de noviembre del año t, y que además no hayan solicitado retiro del proceso ex-ante previo a su primera evaluación.</w:t>
            </w:r>
          </w:p>
          <w:p w14:paraId="3A67D2FD" w14:textId="772FA28B" w:rsidR="00B4607B" w:rsidRPr="007D007C" w:rsidRDefault="00B4607B" w:rsidP="00B4607B">
            <w:pPr>
              <w:jc w:val="both"/>
              <w:rPr>
                <w:rFonts w:ascii="Arial" w:hAnsi="Arial" w:cs="Arial"/>
                <w:szCs w:val="18"/>
              </w:rPr>
            </w:pPr>
            <w:r w:rsidRPr="00E43A5A">
              <w:rPr>
                <w:rFonts w:ascii="Arial" w:hAnsi="Arial" w:cs="Arial"/>
                <w:bCs/>
                <w:szCs w:val="18"/>
                <w:lang w:val="es-CL"/>
              </w:rPr>
              <w:t>b) El plazo de evaluación se establece desde la solicitud de evaluación del programa a la División de Políticas</w:t>
            </w:r>
            <w:r>
              <w:rPr>
                <w:rFonts w:ascii="Arial" w:hAnsi="Arial" w:cs="Arial"/>
                <w:szCs w:val="18"/>
                <w:lang w:val="es-CL"/>
              </w:rPr>
              <w:t xml:space="preserve"> Sociales, por parte de los Servicios que solicitan </w:t>
            </w:r>
            <w:r w:rsidR="00C03063">
              <w:rPr>
                <w:rFonts w:ascii="Arial" w:hAnsi="Arial" w:cs="Arial"/>
                <w:szCs w:val="18"/>
                <w:lang w:val="es-CL"/>
              </w:rPr>
              <w:t>evaluación</w:t>
            </w:r>
            <w:r>
              <w:rPr>
                <w:rFonts w:ascii="Arial" w:hAnsi="Arial" w:cs="Arial"/>
                <w:szCs w:val="18"/>
                <w:lang w:val="es-CL"/>
              </w:rPr>
              <w:t xml:space="preserve"> de algún Programa nuevo o reformulado significativamente, y el resultado de la evaluación informado por la División de Políticas Sociales.</w:t>
            </w:r>
            <w:r w:rsidRPr="007D007C">
              <w:rPr>
                <w:rFonts w:ascii="Arial" w:hAnsi="Arial" w:cs="Arial"/>
                <w:szCs w:val="18"/>
              </w:rPr>
              <w:t xml:space="preserve"> </w:t>
            </w:r>
          </w:p>
          <w:p w14:paraId="079EA866" w14:textId="77777777" w:rsidR="00B4607B" w:rsidRPr="00425526" w:rsidRDefault="00B4607B" w:rsidP="00B4607B">
            <w:pPr>
              <w:jc w:val="both"/>
              <w:rPr>
                <w:rFonts w:ascii="Arial" w:hAnsi="Arial" w:cs="Arial"/>
                <w:szCs w:val="18"/>
              </w:rPr>
            </w:pPr>
          </w:p>
        </w:tc>
      </w:tr>
      <w:tr w:rsidR="00B4607B" w:rsidRPr="00007E1F" w14:paraId="44621BFA" w14:textId="77777777" w:rsidTr="004812EF">
        <w:trPr>
          <w:cantSplit/>
          <w:trHeight w:val="439"/>
          <w:jc w:val="center"/>
        </w:trPr>
        <w:tc>
          <w:tcPr>
            <w:tcW w:w="568" w:type="dxa"/>
            <w:shd w:val="clear" w:color="000000" w:fill="FFFFFF"/>
            <w:vAlign w:val="center"/>
          </w:tcPr>
          <w:p w14:paraId="0CE38A94" w14:textId="5C0788AD" w:rsidR="00B4607B" w:rsidRDefault="00B4607B" w:rsidP="00B4607B">
            <w:pPr>
              <w:jc w:val="center"/>
              <w:rPr>
                <w:rFonts w:ascii="Arial" w:hAnsi="Arial" w:cs="Arial"/>
                <w:b/>
                <w:sz w:val="22"/>
                <w:szCs w:val="18"/>
              </w:rPr>
            </w:pPr>
            <w:r>
              <w:rPr>
                <w:rFonts w:ascii="Arial" w:hAnsi="Arial" w:cs="Arial"/>
                <w:b/>
                <w:sz w:val="22"/>
                <w:szCs w:val="18"/>
              </w:rPr>
              <w:t>3</w:t>
            </w:r>
          </w:p>
        </w:tc>
        <w:tc>
          <w:tcPr>
            <w:tcW w:w="1832" w:type="dxa"/>
            <w:shd w:val="clear" w:color="000000" w:fill="FFFFFF"/>
            <w:vAlign w:val="center"/>
          </w:tcPr>
          <w:p w14:paraId="1047F6CE" w14:textId="5F4E08F0" w:rsidR="00B4607B" w:rsidRPr="007D007C" w:rsidRDefault="00B4607B" w:rsidP="00B4607B">
            <w:pPr>
              <w:jc w:val="both"/>
              <w:rPr>
                <w:rFonts w:ascii="Arial" w:hAnsi="Arial" w:cs="Arial"/>
                <w:szCs w:val="18"/>
              </w:rPr>
            </w:pPr>
            <w:r>
              <w:rPr>
                <w:rFonts w:ascii="Arial" w:hAnsi="Arial" w:cs="Arial"/>
                <w:szCs w:val="18"/>
              </w:rPr>
              <w:t>Porcentaje de proyectos financiados con la línea concursable del FISP con supervisión en terreno, respecto del total de proyectos financiados con la línea concursable y adjudicados en el año t-1 y que estén vigentes en el año t.</w:t>
            </w:r>
          </w:p>
        </w:tc>
        <w:tc>
          <w:tcPr>
            <w:tcW w:w="1984" w:type="dxa"/>
            <w:shd w:val="clear" w:color="000000" w:fill="FFFFFF"/>
            <w:vAlign w:val="center"/>
          </w:tcPr>
          <w:p w14:paraId="33D408AA" w14:textId="4FB9C9F6" w:rsidR="00B4607B" w:rsidRPr="007D007C" w:rsidRDefault="00B4607B" w:rsidP="00B4607B">
            <w:pPr>
              <w:jc w:val="both"/>
              <w:rPr>
                <w:rFonts w:ascii="Arial" w:hAnsi="Arial" w:cs="Arial"/>
                <w:szCs w:val="18"/>
              </w:rPr>
            </w:pPr>
            <w:r>
              <w:rPr>
                <w:rFonts w:ascii="Arial" w:hAnsi="Arial" w:cs="Arial"/>
                <w:szCs w:val="18"/>
              </w:rPr>
              <w:t>(N° de proyectos financiados con la línea concursable FISP con supervisión en terreno en el año t / N° total de proyectos financiados con la línea concursable y adjudicados en el año t-1 y vigentes en el año t) * 100</w:t>
            </w:r>
          </w:p>
        </w:tc>
        <w:tc>
          <w:tcPr>
            <w:tcW w:w="1276" w:type="dxa"/>
            <w:shd w:val="clear" w:color="000000" w:fill="FFFFFF"/>
            <w:vAlign w:val="center"/>
          </w:tcPr>
          <w:p w14:paraId="685D34B4" w14:textId="2927FB90" w:rsidR="00B4607B" w:rsidRDefault="00E43A5A" w:rsidP="00B4607B">
            <w:pPr>
              <w:jc w:val="center"/>
              <w:rPr>
                <w:rFonts w:ascii="Arial" w:hAnsi="Arial" w:cs="Arial"/>
                <w:bCs/>
                <w:szCs w:val="16"/>
              </w:rPr>
            </w:pPr>
            <w:r>
              <w:rPr>
                <w:rFonts w:ascii="Arial" w:hAnsi="Arial" w:cs="Arial"/>
                <w:color w:val="000000"/>
                <w:szCs w:val="16"/>
              </w:rPr>
              <w:t>60</w:t>
            </w:r>
            <w:r w:rsidR="00B4607B">
              <w:rPr>
                <w:rFonts w:ascii="Arial" w:hAnsi="Arial" w:cs="Arial"/>
                <w:color w:val="000000"/>
                <w:szCs w:val="16"/>
              </w:rPr>
              <w:t xml:space="preserve"> / 9</w:t>
            </w:r>
            <w:r>
              <w:rPr>
                <w:rFonts w:ascii="Arial" w:hAnsi="Arial" w:cs="Arial"/>
                <w:color w:val="000000"/>
                <w:szCs w:val="16"/>
              </w:rPr>
              <w:t>2</w:t>
            </w:r>
          </w:p>
        </w:tc>
        <w:tc>
          <w:tcPr>
            <w:tcW w:w="851" w:type="dxa"/>
            <w:shd w:val="clear" w:color="auto" w:fill="FFFFFF"/>
            <w:vAlign w:val="center"/>
          </w:tcPr>
          <w:p w14:paraId="5ABBBA27" w14:textId="2B8D7EFF" w:rsidR="00B4607B" w:rsidRDefault="00B4607B" w:rsidP="00B4607B">
            <w:pPr>
              <w:jc w:val="center"/>
              <w:rPr>
                <w:rFonts w:ascii="Arial" w:hAnsi="Arial" w:cs="Arial"/>
                <w:szCs w:val="18"/>
              </w:rPr>
            </w:pPr>
            <w:r>
              <w:rPr>
                <w:rFonts w:ascii="Arial" w:hAnsi="Arial" w:cs="Arial"/>
                <w:szCs w:val="18"/>
              </w:rPr>
              <w:t>6</w:t>
            </w:r>
            <w:r w:rsidR="00E43A5A">
              <w:rPr>
                <w:rFonts w:ascii="Arial" w:hAnsi="Arial" w:cs="Arial"/>
                <w:szCs w:val="18"/>
              </w:rPr>
              <w:t>5</w:t>
            </w:r>
            <w:r>
              <w:rPr>
                <w:rFonts w:ascii="Arial" w:hAnsi="Arial" w:cs="Arial"/>
                <w:szCs w:val="18"/>
              </w:rPr>
              <w:t>%</w:t>
            </w:r>
          </w:p>
        </w:tc>
        <w:tc>
          <w:tcPr>
            <w:tcW w:w="708" w:type="dxa"/>
            <w:shd w:val="clear" w:color="000000" w:fill="FFFFFF"/>
            <w:vAlign w:val="center"/>
          </w:tcPr>
          <w:p w14:paraId="6EE13F0F" w14:textId="3B7F1E90" w:rsidR="00B4607B" w:rsidRPr="007D007C" w:rsidRDefault="00B4607B" w:rsidP="00B4607B">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523D1AEF" w14:textId="3BA8524D" w:rsidR="00B4607B" w:rsidRPr="00E43A5A" w:rsidRDefault="00B4607B" w:rsidP="00B4607B">
            <w:pPr>
              <w:jc w:val="center"/>
              <w:rPr>
                <w:rFonts w:ascii="Arial" w:hAnsi="Arial" w:cs="Arial"/>
                <w:b/>
                <w:szCs w:val="18"/>
              </w:rPr>
            </w:pPr>
            <w:r w:rsidRPr="00E43A5A">
              <w:rPr>
                <w:rFonts w:ascii="Arial" w:hAnsi="Arial" w:cs="Arial"/>
                <w:b/>
                <w:szCs w:val="18"/>
              </w:rPr>
              <w:t>7</w:t>
            </w:r>
            <w:r w:rsidR="00E43A5A" w:rsidRPr="00E43A5A">
              <w:rPr>
                <w:rFonts w:ascii="Arial" w:hAnsi="Arial" w:cs="Arial"/>
                <w:b/>
                <w:szCs w:val="18"/>
              </w:rPr>
              <w:t>1</w:t>
            </w:r>
            <w:r w:rsidRPr="00E43A5A">
              <w:rPr>
                <w:rFonts w:ascii="Arial" w:hAnsi="Arial" w:cs="Arial"/>
                <w:b/>
                <w:szCs w:val="18"/>
              </w:rPr>
              <w:t>%</w:t>
            </w:r>
          </w:p>
        </w:tc>
        <w:tc>
          <w:tcPr>
            <w:tcW w:w="1276" w:type="dxa"/>
            <w:gridSpan w:val="2"/>
            <w:shd w:val="clear" w:color="000000" w:fill="FFFFFF"/>
            <w:vAlign w:val="center"/>
          </w:tcPr>
          <w:p w14:paraId="0D3F1FAA" w14:textId="5E053C3D" w:rsidR="00B4607B" w:rsidRPr="00E43A5A" w:rsidRDefault="00E43A5A" w:rsidP="00B4607B">
            <w:pPr>
              <w:jc w:val="center"/>
              <w:rPr>
                <w:rFonts w:ascii="Arial" w:hAnsi="Arial" w:cs="Arial"/>
                <w:b/>
                <w:szCs w:val="18"/>
              </w:rPr>
            </w:pPr>
            <w:r w:rsidRPr="00E43A5A">
              <w:rPr>
                <w:rFonts w:ascii="Arial" w:hAnsi="Arial" w:cs="Arial"/>
                <w:b/>
                <w:szCs w:val="18"/>
              </w:rPr>
              <w:t>67</w:t>
            </w:r>
            <w:r w:rsidR="00B4607B" w:rsidRPr="00E43A5A">
              <w:rPr>
                <w:rFonts w:ascii="Arial" w:hAnsi="Arial" w:cs="Arial"/>
                <w:b/>
                <w:szCs w:val="18"/>
              </w:rPr>
              <w:t xml:space="preserve"> / 94</w:t>
            </w:r>
          </w:p>
        </w:tc>
        <w:tc>
          <w:tcPr>
            <w:tcW w:w="8787" w:type="dxa"/>
            <w:shd w:val="clear" w:color="000000" w:fill="FFFFFF"/>
            <w:noWrap/>
            <w:vAlign w:val="center"/>
          </w:tcPr>
          <w:p w14:paraId="38406CD6" w14:textId="77777777" w:rsidR="00B4607B" w:rsidRPr="00E43A5A" w:rsidRDefault="00B4607B" w:rsidP="00B4607B">
            <w:pPr>
              <w:shd w:val="clear" w:color="auto" w:fill="FFFFFF" w:themeFill="background1"/>
              <w:jc w:val="both"/>
              <w:rPr>
                <w:rFonts w:ascii="Arial" w:hAnsi="Arial" w:cs="Arial"/>
                <w:szCs w:val="18"/>
              </w:rPr>
            </w:pPr>
            <w:r w:rsidRPr="00E43A5A">
              <w:rPr>
                <w:rFonts w:ascii="Arial" w:hAnsi="Arial" w:cs="Arial"/>
                <w:szCs w:val="18"/>
              </w:rPr>
              <w:t>a) Los proyectos financiados son aquellos que se encuentran bajo la línea concursable del Fondo de Iniciativas para la Superación de la Pobreza (FISP).</w:t>
            </w:r>
          </w:p>
          <w:p w14:paraId="1A9C2C9B" w14:textId="77777777" w:rsidR="00B4607B" w:rsidRPr="00E43A5A" w:rsidRDefault="00B4607B" w:rsidP="00B4607B">
            <w:pPr>
              <w:shd w:val="clear" w:color="auto" w:fill="FFFFFF" w:themeFill="background1"/>
              <w:jc w:val="both"/>
              <w:rPr>
                <w:rFonts w:ascii="Arial" w:hAnsi="Arial" w:cs="Arial"/>
                <w:szCs w:val="18"/>
              </w:rPr>
            </w:pPr>
            <w:r w:rsidRPr="00E43A5A">
              <w:rPr>
                <w:rFonts w:ascii="Arial" w:hAnsi="Arial" w:cs="Arial"/>
                <w:szCs w:val="18"/>
              </w:rPr>
              <w:t>b) La supervisión técnica consiste en la verificación, revisión y observación de la ejecución del proyecto en terreno, a fin de establecer el cumplimiento de objetivos y actividades del proyecto, conforme al estándar definido en éste.</w:t>
            </w:r>
          </w:p>
          <w:p w14:paraId="7467E822" w14:textId="77777777" w:rsidR="00B4607B" w:rsidRPr="00E43A5A" w:rsidRDefault="00B4607B" w:rsidP="00B4607B">
            <w:pPr>
              <w:shd w:val="clear" w:color="auto" w:fill="FFFFFF" w:themeFill="background1"/>
              <w:jc w:val="both"/>
              <w:rPr>
                <w:rFonts w:ascii="Arial" w:hAnsi="Arial" w:cs="Arial"/>
                <w:szCs w:val="18"/>
              </w:rPr>
            </w:pPr>
            <w:r w:rsidRPr="00E43A5A">
              <w:rPr>
                <w:rFonts w:ascii="Arial" w:hAnsi="Arial" w:cs="Arial"/>
                <w:szCs w:val="18"/>
              </w:rPr>
              <w:t>c) La supervisión en terreno la realizan los profesionales de la División de Cooperación Público Privada, quienes consignarán la información en la respectiva Ficha de Supervisión desarrollada para estos efectos.</w:t>
            </w:r>
          </w:p>
          <w:p w14:paraId="51415889" w14:textId="77777777" w:rsidR="00B4607B" w:rsidRPr="00E43A5A" w:rsidRDefault="00B4607B" w:rsidP="00B4607B">
            <w:pPr>
              <w:shd w:val="clear" w:color="auto" w:fill="FFFFFF" w:themeFill="background1"/>
              <w:jc w:val="both"/>
              <w:rPr>
                <w:rFonts w:ascii="Arial" w:hAnsi="Arial" w:cs="Arial"/>
                <w:szCs w:val="18"/>
              </w:rPr>
            </w:pPr>
            <w:r w:rsidRPr="00E43A5A">
              <w:rPr>
                <w:rFonts w:ascii="Arial" w:hAnsi="Arial" w:cs="Arial"/>
                <w:szCs w:val="18"/>
              </w:rPr>
              <w:t>d) Los campos de la Ficha de Supervisión para el evaluador no son todos obligatorios.</w:t>
            </w:r>
          </w:p>
          <w:p w14:paraId="49AE7242" w14:textId="52EE6718" w:rsidR="00B4607B" w:rsidRPr="00425526" w:rsidRDefault="00B4607B" w:rsidP="00B4607B">
            <w:pPr>
              <w:jc w:val="both"/>
              <w:rPr>
                <w:rFonts w:ascii="Arial" w:hAnsi="Arial" w:cs="Arial"/>
                <w:szCs w:val="18"/>
              </w:rPr>
            </w:pPr>
            <w:r w:rsidRPr="00E43A5A">
              <w:rPr>
                <w:rFonts w:ascii="Arial" w:hAnsi="Arial" w:cs="Arial"/>
                <w:szCs w:val="18"/>
              </w:rPr>
              <w:t>e) La</w:t>
            </w:r>
            <w:r>
              <w:rPr>
                <w:rFonts w:ascii="Arial" w:hAnsi="Arial" w:cs="Arial"/>
                <w:bCs/>
                <w:szCs w:val="18"/>
              </w:rPr>
              <w:t xml:space="preserve"> metodología de evaluación será flexible, ya que se debe adaptar a cada circunstancia y realidad de evaluación del proyecto.</w:t>
            </w:r>
          </w:p>
        </w:tc>
      </w:tr>
      <w:tr w:rsidR="00B4607B" w:rsidRPr="00007E1F" w14:paraId="0923D8CC" w14:textId="77777777" w:rsidTr="004812EF">
        <w:trPr>
          <w:cantSplit/>
          <w:trHeight w:val="439"/>
          <w:jc w:val="center"/>
        </w:trPr>
        <w:tc>
          <w:tcPr>
            <w:tcW w:w="568" w:type="dxa"/>
            <w:shd w:val="clear" w:color="000000" w:fill="FFFFFF"/>
            <w:vAlign w:val="center"/>
            <w:hideMark/>
          </w:tcPr>
          <w:p w14:paraId="2E051F42" w14:textId="0590A97B" w:rsidR="00B4607B" w:rsidRPr="007D007C" w:rsidRDefault="00B4607B" w:rsidP="00B4607B">
            <w:pPr>
              <w:jc w:val="center"/>
              <w:rPr>
                <w:rFonts w:ascii="Arial" w:hAnsi="Arial" w:cs="Arial"/>
                <w:b/>
                <w:sz w:val="22"/>
                <w:szCs w:val="18"/>
              </w:rPr>
            </w:pPr>
            <w:r>
              <w:rPr>
                <w:rFonts w:ascii="Arial" w:hAnsi="Arial" w:cs="Arial"/>
                <w:b/>
                <w:sz w:val="22"/>
                <w:szCs w:val="18"/>
              </w:rPr>
              <w:lastRenderedPageBreak/>
              <w:t>4</w:t>
            </w:r>
          </w:p>
        </w:tc>
        <w:tc>
          <w:tcPr>
            <w:tcW w:w="1832" w:type="dxa"/>
            <w:shd w:val="clear" w:color="000000" w:fill="FFFFFF"/>
            <w:vAlign w:val="center"/>
          </w:tcPr>
          <w:p w14:paraId="158D0204" w14:textId="77777777" w:rsidR="00B4607B" w:rsidRPr="007D007C" w:rsidRDefault="00B4607B" w:rsidP="00B4607B">
            <w:pPr>
              <w:jc w:val="both"/>
              <w:rPr>
                <w:rFonts w:ascii="Arial" w:hAnsi="Arial" w:cs="Arial"/>
                <w:szCs w:val="18"/>
              </w:rPr>
            </w:pPr>
            <w:r w:rsidRPr="007D007C">
              <w:rPr>
                <w:rFonts w:ascii="Arial" w:hAnsi="Arial" w:cs="Arial"/>
                <w:szCs w:val="18"/>
              </w:rPr>
              <w:t>Porcentaje de usuarios satisfechos con los cursos del programa de capacitación</w:t>
            </w:r>
            <w:r>
              <w:rPr>
                <w:rFonts w:ascii="Arial" w:hAnsi="Arial" w:cs="Arial"/>
                <w:szCs w:val="18"/>
              </w:rPr>
              <w:t xml:space="preserve"> dirigido a formuladores y evaluadores de Iniciativas de Inversión,</w:t>
            </w:r>
            <w:r w:rsidRPr="007D007C">
              <w:rPr>
                <w:rFonts w:ascii="Arial" w:hAnsi="Arial" w:cs="Arial"/>
                <w:szCs w:val="18"/>
              </w:rPr>
              <w:t xml:space="preserve"> en el año t.  </w:t>
            </w:r>
          </w:p>
          <w:p w14:paraId="5D932187" w14:textId="77777777" w:rsidR="00B4607B" w:rsidRPr="007D007C" w:rsidRDefault="00B4607B" w:rsidP="00B4607B">
            <w:pPr>
              <w:jc w:val="both"/>
              <w:rPr>
                <w:rFonts w:ascii="Arial" w:hAnsi="Arial" w:cs="Arial"/>
                <w:szCs w:val="18"/>
              </w:rPr>
            </w:pPr>
          </w:p>
        </w:tc>
        <w:tc>
          <w:tcPr>
            <w:tcW w:w="1984" w:type="dxa"/>
            <w:shd w:val="clear" w:color="000000" w:fill="FFFFFF"/>
            <w:vAlign w:val="center"/>
          </w:tcPr>
          <w:p w14:paraId="707A1C38" w14:textId="77777777" w:rsidR="00B4607B" w:rsidRPr="007D007C" w:rsidRDefault="00B4607B" w:rsidP="00B4607B">
            <w:pPr>
              <w:jc w:val="both"/>
              <w:rPr>
                <w:rFonts w:ascii="Arial" w:hAnsi="Arial" w:cs="Arial"/>
                <w:szCs w:val="18"/>
              </w:rPr>
            </w:pPr>
            <w:r w:rsidRPr="007D007C">
              <w:rPr>
                <w:rFonts w:ascii="Arial" w:hAnsi="Arial" w:cs="Arial"/>
                <w:szCs w:val="18"/>
              </w:rPr>
              <w:t>(N° de usuarios satisfechos con los cursos del programa de capacitación</w:t>
            </w:r>
            <w:r>
              <w:rPr>
                <w:rFonts w:ascii="Arial" w:hAnsi="Arial" w:cs="Arial"/>
                <w:szCs w:val="18"/>
              </w:rPr>
              <w:t xml:space="preserve"> d</w:t>
            </w:r>
            <w:r w:rsidRPr="007D007C">
              <w:rPr>
                <w:rFonts w:ascii="Arial" w:hAnsi="Arial" w:cs="Arial"/>
                <w:szCs w:val="18"/>
              </w:rPr>
              <w:t>el año t / N° total de usuarios que participan en los cursos del programa de capacitación en el año t) *100</w:t>
            </w:r>
          </w:p>
          <w:p w14:paraId="17998AEE" w14:textId="77777777" w:rsidR="00B4607B" w:rsidRPr="007D007C" w:rsidRDefault="00B4607B" w:rsidP="00B4607B">
            <w:pPr>
              <w:jc w:val="both"/>
              <w:rPr>
                <w:rFonts w:ascii="Arial" w:hAnsi="Arial" w:cs="Arial"/>
                <w:szCs w:val="18"/>
              </w:rPr>
            </w:pPr>
          </w:p>
        </w:tc>
        <w:tc>
          <w:tcPr>
            <w:tcW w:w="1276" w:type="dxa"/>
            <w:shd w:val="clear" w:color="000000" w:fill="FFFFFF"/>
            <w:vAlign w:val="center"/>
          </w:tcPr>
          <w:p w14:paraId="7873863A" w14:textId="349E4B37" w:rsidR="00B4607B" w:rsidRPr="00592C80" w:rsidRDefault="00B4607B" w:rsidP="00B4607B">
            <w:pPr>
              <w:jc w:val="center"/>
              <w:rPr>
                <w:rFonts w:ascii="Arial" w:hAnsi="Arial" w:cs="Arial"/>
                <w:bCs/>
                <w:szCs w:val="16"/>
              </w:rPr>
            </w:pPr>
            <w:r>
              <w:rPr>
                <w:rFonts w:ascii="Arial" w:hAnsi="Arial" w:cs="Arial"/>
                <w:bCs/>
                <w:szCs w:val="16"/>
              </w:rPr>
              <w:t>1</w:t>
            </w:r>
            <w:r w:rsidR="00E43A5A">
              <w:rPr>
                <w:rFonts w:ascii="Arial" w:hAnsi="Arial" w:cs="Arial"/>
                <w:bCs/>
                <w:szCs w:val="16"/>
              </w:rPr>
              <w:t>68</w:t>
            </w:r>
            <w:r>
              <w:rPr>
                <w:rFonts w:ascii="Arial" w:hAnsi="Arial" w:cs="Arial"/>
                <w:bCs/>
                <w:szCs w:val="16"/>
              </w:rPr>
              <w:t xml:space="preserve"> </w:t>
            </w:r>
            <w:r w:rsidRPr="00592C80">
              <w:rPr>
                <w:rFonts w:ascii="Arial" w:hAnsi="Arial" w:cs="Arial"/>
                <w:bCs/>
                <w:szCs w:val="16"/>
              </w:rPr>
              <w:t>/</w:t>
            </w:r>
            <w:r>
              <w:rPr>
                <w:rFonts w:ascii="Arial" w:hAnsi="Arial" w:cs="Arial"/>
                <w:bCs/>
                <w:szCs w:val="16"/>
              </w:rPr>
              <w:t xml:space="preserve"> </w:t>
            </w:r>
            <w:r w:rsidR="00E43A5A">
              <w:rPr>
                <w:rFonts w:ascii="Arial" w:hAnsi="Arial" w:cs="Arial"/>
                <w:bCs/>
                <w:szCs w:val="16"/>
              </w:rPr>
              <w:t>200</w:t>
            </w:r>
          </w:p>
        </w:tc>
        <w:tc>
          <w:tcPr>
            <w:tcW w:w="851" w:type="dxa"/>
            <w:shd w:val="clear" w:color="auto" w:fill="FFFFFF"/>
            <w:vAlign w:val="center"/>
          </w:tcPr>
          <w:p w14:paraId="02F16100" w14:textId="77777777" w:rsidR="00B4607B" w:rsidRPr="00592C80" w:rsidRDefault="00B4607B" w:rsidP="00B4607B">
            <w:pPr>
              <w:jc w:val="center"/>
              <w:rPr>
                <w:rFonts w:ascii="Arial" w:hAnsi="Arial" w:cs="Arial"/>
                <w:szCs w:val="18"/>
              </w:rPr>
            </w:pPr>
            <w:r>
              <w:rPr>
                <w:rFonts w:ascii="Arial" w:hAnsi="Arial" w:cs="Arial"/>
                <w:szCs w:val="18"/>
              </w:rPr>
              <w:t>84</w:t>
            </w:r>
            <w:r w:rsidRPr="00592C80">
              <w:rPr>
                <w:rFonts w:ascii="Arial" w:hAnsi="Arial" w:cs="Arial"/>
                <w:szCs w:val="18"/>
              </w:rPr>
              <w:t>%</w:t>
            </w:r>
          </w:p>
        </w:tc>
        <w:tc>
          <w:tcPr>
            <w:tcW w:w="708" w:type="dxa"/>
            <w:shd w:val="clear" w:color="000000" w:fill="FFFFFF"/>
            <w:vAlign w:val="center"/>
          </w:tcPr>
          <w:p w14:paraId="0122EF48" w14:textId="77777777" w:rsidR="00B4607B" w:rsidRPr="007D007C" w:rsidRDefault="00B4607B" w:rsidP="00B4607B">
            <w:pPr>
              <w:jc w:val="center"/>
              <w:rPr>
                <w:rFonts w:ascii="Arial" w:hAnsi="Arial" w:cs="Arial"/>
                <w:szCs w:val="18"/>
              </w:rPr>
            </w:pPr>
            <w:r w:rsidRPr="007D007C">
              <w:rPr>
                <w:rFonts w:ascii="Arial" w:hAnsi="Arial" w:cs="Arial"/>
                <w:szCs w:val="18"/>
              </w:rPr>
              <w:t>%</w:t>
            </w:r>
          </w:p>
        </w:tc>
        <w:tc>
          <w:tcPr>
            <w:tcW w:w="1134" w:type="dxa"/>
            <w:shd w:val="clear" w:color="000000" w:fill="FFFFFF"/>
            <w:vAlign w:val="center"/>
          </w:tcPr>
          <w:p w14:paraId="34424C11" w14:textId="62D1700F" w:rsidR="00B4607B" w:rsidRPr="00E43A5A" w:rsidRDefault="00B4607B" w:rsidP="00B4607B">
            <w:pPr>
              <w:jc w:val="center"/>
              <w:rPr>
                <w:rFonts w:ascii="Arial" w:hAnsi="Arial" w:cs="Arial"/>
                <w:b/>
                <w:szCs w:val="18"/>
              </w:rPr>
            </w:pPr>
            <w:r w:rsidRPr="00E43A5A">
              <w:rPr>
                <w:rFonts w:ascii="Arial" w:hAnsi="Arial" w:cs="Arial"/>
                <w:b/>
                <w:szCs w:val="18"/>
              </w:rPr>
              <w:t>9</w:t>
            </w:r>
            <w:r w:rsidR="00E43A5A" w:rsidRPr="00E43A5A">
              <w:rPr>
                <w:rFonts w:ascii="Arial" w:hAnsi="Arial" w:cs="Arial"/>
                <w:b/>
                <w:szCs w:val="18"/>
              </w:rPr>
              <w:t>2</w:t>
            </w:r>
            <w:r w:rsidRPr="00E43A5A">
              <w:rPr>
                <w:rFonts w:ascii="Arial" w:hAnsi="Arial" w:cs="Arial"/>
                <w:b/>
                <w:szCs w:val="18"/>
              </w:rPr>
              <w:t xml:space="preserve">% </w:t>
            </w:r>
          </w:p>
        </w:tc>
        <w:tc>
          <w:tcPr>
            <w:tcW w:w="1276" w:type="dxa"/>
            <w:gridSpan w:val="2"/>
            <w:shd w:val="clear" w:color="000000" w:fill="FFFFFF"/>
            <w:vAlign w:val="center"/>
          </w:tcPr>
          <w:p w14:paraId="6E6CE768" w14:textId="25832BE7" w:rsidR="00B4607B" w:rsidRPr="00E43A5A" w:rsidRDefault="00B4607B" w:rsidP="00B4607B">
            <w:pPr>
              <w:jc w:val="center"/>
              <w:rPr>
                <w:rFonts w:ascii="Arial" w:hAnsi="Arial" w:cs="Arial"/>
                <w:b/>
                <w:szCs w:val="18"/>
              </w:rPr>
            </w:pPr>
            <w:r w:rsidRPr="00E43A5A">
              <w:rPr>
                <w:rFonts w:ascii="Arial" w:hAnsi="Arial" w:cs="Arial"/>
                <w:b/>
                <w:szCs w:val="18"/>
              </w:rPr>
              <w:t>1</w:t>
            </w:r>
            <w:r w:rsidR="00E43A5A" w:rsidRPr="00E43A5A">
              <w:rPr>
                <w:rFonts w:ascii="Arial" w:hAnsi="Arial" w:cs="Arial"/>
                <w:b/>
                <w:szCs w:val="18"/>
              </w:rPr>
              <w:t>62</w:t>
            </w:r>
            <w:r w:rsidRPr="00E43A5A">
              <w:rPr>
                <w:rFonts w:ascii="Arial" w:hAnsi="Arial" w:cs="Arial"/>
                <w:b/>
                <w:szCs w:val="18"/>
              </w:rPr>
              <w:t xml:space="preserve"> / 1</w:t>
            </w:r>
            <w:r w:rsidR="00E43A5A" w:rsidRPr="00E43A5A">
              <w:rPr>
                <w:rFonts w:ascii="Arial" w:hAnsi="Arial" w:cs="Arial"/>
                <w:b/>
                <w:szCs w:val="18"/>
              </w:rPr>
              <w:t>77</w:t>
            </w:r>
          </w:p>
        </w:tc>
        <w:tc>
          <w:tcPr>
            <w:tcW w:w="8787" w:type="dxa"/>
            <w:shd w:val="clear" w:color="000000" w:fill="FFFFFF"/>
            <w:noWrap/>
            <w:vAlign w:val="center"/>
          </w:tcPr>
          <w:p w14:paraId="62F67987" w14:textId="77777777" w:rsidR="00B4607B" w:rsidRPr="00425526" w:rsidRDefault="00B4607B" w:rsidP="00B4607B">
            <w:pPr>
              <w:jc w:val="both"/>
              <w:rPr>
                <w:rFonts w:ascii="Arial" w:hAnsi="Arial" w:cs="Arial"/>
                <w:szCs w:val="18"/>
              </w:rPr>
            </w:pPr>
            <w:r w:rsidRPr="00425526">
              <w:rPr>
                <w:rFonts w:ascii="Arial" w:hAnsi="Arial" w:cs="Arial"/>
                <w:szCs w:val="18"/>
              </w:rPr>
              <w:t xml:space="preserve">La Subsecretaría de Evaluación Social, a través de la División de Evaluación Social de Inversiones, ejecuta anualmente en conjunto con las Seremis de Desarrollo Social, un plan de capacitación orientado a los formuladores y evaluadores de iniciativas de inversión pública, con el objeto entregar las herramientas necesarias para generar proyectos viables, financiables y sustentables en el marco del Sistema Nacional de Inversiones. </w:t>
            </w:r>
          </w:p>
          <w:p w14:paraId="24A11220" w14:textId="77777777" w:rsidR="00B4607B" w:rsidRPr="00E45815" w:rsidRDefault="00B4607B" w:rsidP="00B4607B">
            <w:pPr>
              <w:jc w:val="both"/>
              <w:rPr>
                <w:rFonts w:ascii="Arial" w:hAnsi="Arial" w:cs="Arial"/>
                <w:szCs w:val="18"/>
                <w:lang w:val="es-CL"/>
              </w:rPr>
            </w:pPr>
            <w:r>
              <w:rPr>
                <w:rFonts w:ascii="Arial" w:hAnsi="Arial" w:cs="Arial"/>
                <w:b/>
                <w:szCs w:val="18"/>
              </w:rPr>
              <w:t xml:space="preserve">a) </w:t>
            </w:r>
            <w:r w:rsidRPr="00425526">
              <w:rPr>
                <w:rFonts w:ascii="Arial" w:hAnsi="Arial" w:cs="Arial"/>
                <w:szCs w:val="18"/>
              </w:rPr>
              <w:t xml:space="preserve">El nivel de satisfacción se </w:t>
            </w:r>
            <w:r>
              <w:rPr>
                <w:rFonts w:ascii="Arial" w:hAnsi="Arial" w:cs="Arial"/>
                <w:szCs w:val="18"/>
              </w:rPr>
              <w:t>determinará por intermedio de l</w:t>
            </w:r>
            <w:r w:rsidRPr="00425526">
              <w:rPr>
                <w:rFonts w:ascii="Arial" w:hAnsi="Arial" w:cs="Arial"/>
                <w:szCs w:val="18"/>
              </w:rPr>
              <w:t>a pregunta de satisfacción global, parte de la encuesta de satisfacción que se aplica una vez finalizado el curso, cuya escala de medición es de 1 a 5, siendo (1) “</w:t>
            </w:r>
            <w:r w:rsidRPr="00425526">
              <w:rPr>
                <w:rFonts w:ascii="Arial" w:hAnsi="Arial" w:cs="Arial"/>
                <w:szCs w:val="18"/>
                <w:lang w:val="es-CL"/>
              </w:rPr>
              <w:t xml:space="preserve">Muy Malo"; (2) “Malo”; (3) “Regular”; (4) “Bueno” y (5) "Muy Bueno". </w:t>
            </w:r>
            <w:r w:rsidRPr="00425526">
              <w:rPr>
                <w:rFonts w:ascii="Arial" w:hAnsi="Arial" w:cs="Arial"/>
                <w:szCs w:val="18"/>
              </w:rPr>
              <w:t xml:space="preserve">La encuesta de satisfacción será </w:t>
            </w:r>
            <w:r>
              <w:rPr>
                <w:rFonts w:ascii="Arial" w:hAnsi="Arial" w:cs="Arial"/>
                <w:szCs w:val="18"/>
              </w:rPr>
              <w:t>entregada</w:t>
            </w:r>
            <w:r w:rsidRPr="00425526">
              <w:rPr>
                <w:rFonts w:ascii="Arial" w:hAnsi="Arial" w:cs="Arial"/>
                <w:szCs w:val="18"/>
              </w:rPr>
              <w:t xml:space="preserve"> a los </w:t>
            </w:r>
            <w:r>
              <w:rPr>
                <w:rFonts w:ascii="Arial" w:hAnsi="Arial" w:cs="Arial"/>
                <w:szCs w:val="18"/>
              </w:rPr>
              <w:t>usuarios</w:t>
            </w:r>
            <w:r w:rsidRPr="00425526">
              <w:rPr>
                <w:rFonts w:ascii="Arial" w:hAnsi="Arial" w:cs="Arial"/>
                <w:szCs w:val="18"/>
              </w:rPr>
              <w:t xml:space="preserve"> que participaron y finalizaron los cursos del programa de capacitación:</w:t>
            </w:r>
            <w:r>
              <w:rPr>
                <w:rFonts w:ascii="Arial" w:hAnsi="Arial" w:cs="Arial"/>
                <w:szCs w:val="18"/>
              </w:rPr>
              <w:t xml:space="preserve"> Cursos</w:t>
            </w:r>
            <w:r w:rsidRPr="00425526">
              <w:rPr>
                <w:rFonts w:ascii="Arial" w:hAnsi="Arial" w:cs="Arial"/>
                <w:szCs w:val="18"/>
              </w:rPr>
              <w:t xml:space="preserve"> Intermedio</w:t>
            </w:r>
            <w:r>
              <w:rPr>
                <w:rFonts w:ascii="Arial" w:hAnsi="Arial" w:cs="Arial"/>
                <w:szCs w:val="18"/>
              </w:rPr>
              <w:t>s</w:t>
            </w:r>
            <w:r w:rsidRPr="00425526">
              <w:rPr>
                <w:rFonts w:ascii="Arial" w:hAnsi="Arial" w:cs="Arial"/>
                <w:szCs w:val="18"/>
              </w:rPr>
              <w:t xml:space="preserve"> y Diplomado, de Preparación y Evaluación de Proyectos. Se excluye de la medición aquellos </w:t>
            </w:r>
            <w:r>
              <w:rPr>
                <w:rFonts w:ascii="Arial" w:hAnsi="Arial" w:cs="Arial"/>
                <w:szCs w:val="18"/>
              </w:rPr>
              <w:t>usuarios</w:t>
            </w:r>
            <w:r w:rsidRPr="00425526">
              <w:rPr>
                <w:rFonts w:ascii="Arial" w:hAnsi="Arial" w:cs="Arial"/>
                <w:szCs w:val="18"/>
              </w:rPr>
              <w:t xml:space="preserve"> que hayan desertado del programa. </w:t>
            </w:r>
          </w:p>
          <w:p w14:paraId="5241268C" w14:textId="77777777" w:rsidR="00B4607B" w:rsidRPr="00425526" w:rsidRDefault="00B4607B" w:rsidP="00B4607B">
            <w:pPr>
              <w:jc w:val="both"/>
              <w:rPr>
                <w:rFonts w:ascii="Arial" w:hAnsi="Arial" w:cs="Arial"/>
                <w:szCs w:val="18"/>
              </w:rPr>
            </w:pPr>
            <w:r>
              <w:rPr>
                <w:rFonts w:ascii="Arial" w:hAnsi="Arial" w:cs="Arial"/>
                <w:b/>
                <w:szCs w:val="18"/>
              </w:rPr>
              <w:t>b)</w:t>
            </w:r>
            <w:r w:rsidRPr="00425526">
              <w:rPr>
                <w:rFonts w:ascii="Arial" w:hAnsi="Arial" w:cs="Arial"/>
                <w:szCs w:val="18"/>
              </w:rPr>
              <w:t xml:space="preserve"> Se entenderá por satisfecho a aquellos usuarios que seleccionen las categorías de "Bueno" y "Muy bueno". </w:t>
            </w:r>
          </w:p>
          <w:p w14:paraId="2870A94B" w14:textId="77777777" w:rsidR="00B4607B" w:rsidRDefault="00B4607B" w:rsidP="00B4607B">
            <w:pPr>
              <w:jc w:val="both"/>
              <w:rPr>
                <w:rFonts w:ascii="Arial" w:hAnsi="Arial" w:cs="Arial"/>
                <w:szCs w:val="18"/>
              </w:rPr>
            </w:pPr>
            <w:r>
              <w:rPr>
                <w:rFonts w:ascii="Arial" w:hAnsi="Arial" w:cs="Arial"/>
                <w:b/>
                <w:szCs w:val="18"/>
              </w:rPr>
              <w:t>c)</w:t>
            </w:r>
            <w:r w:rsidRPr="00425526">
              <w:rPr>
                <w:rFonts w:ascii="Arial" w:hAnsi="Arial" w:cs="Arial"/>
                <w:szCs w:val="18"/>
              </w:rPr>
              <w:t xml:space="preserve"> </w:t>
            </w:r>
            <w:r>
              <w:rPr>
                <w:rFonts w:ascii="Arial" w:hAnsi="Arial" w:cs="Arial"/>
                <w:szCs w:val="18"/>
              </w:rPr>
              <w:t>Se consideran los cursos a cargo del Nivel Central.</w:t>
            </w:r>
          </w:p>
          <w:p w14:paraId="051B7353" w14:textId="77777777" w:rsidR="00B4607B" w:rsidRPr="00E45815" w:rsidRDefault="00B4607B" w:rsidP="00B4607B">
            <w:pPr>
              <w:jc w:val="both"/>
              <w:rPr>
                <w:rFonts w:ascii="Arial" w:hAnsi="Arial" w:cs="Arial"/>
                <w:b/>
                <w:szCs w:val="18"/>
              </w:rPr>
            </w:pPr>
            <w:r w:rsidRPr="00E45815">
              <w:rPr>
                <w:rFonts w:ascii="Arial" w:hAnsi="Arial" w:cs="Arial"/>
                <w:b/>
                <w:szCs w:val="18"/>
              </w:rPr>
              <w:t xml:space="preserve">d) </w:t>
            </w:r>
            <w:r w:rsidRPr="00E45815">
              <w:rPr>
                <w:rFonts w:ascii="Arial" w:hAnsi="Arial" w:cs="Arial"/>
                <w:szCs w:val="18"/>
              </w:rPr>
              <w:t>La medición se realizará sobre los cursos realizados en la modalidad presencial.</w:t>
            </w:r>
          </w:p>
        </w:tc>
      </w:tr>
      <w:tr w:rsidR="00934B51" w:rsidRPr="00007E1F" w14:paraId="21E5EEE7" w14:textId="77777777" w:rsidTr="00B4607B">
        <w:trPr>
          <w:cantSplit/>
          <w:trHeight w:val="1115"/>
          <w:jc w:val="center"/>
        </w:trPr>
        <w:tc>
          <w:tcPr>
            <w:tcW w:w="568" w:type="dxa"/>
            <w:shd w:val="clear" w:color="000000" w:fill="FFFFFF"/>
            <w:vAlign w:val="center"/>
          </w:tcPr>
          <w:p w14:paraId="3F40D2F1" w14:textId="3C9460C2" w:rsidR="00934B51" w:rsidRPr="007D007C" w:rsidRDefault="00934B51" w:rsidP="00934B51">
            <w:pPr>
              <w:jc w:val="center"/>
              <w:rPr>
                <w:rFonts w:ascii="Arial" w:hAnsi="Arial" w:cs="Arial"/>
                <w:b/>
                <w:sz w:val="22"/>
                <w:szCs w:val="18"/>
              </w:rPr>
            </w:pPr>
            <w:r>
              <w:rPr>
                <w:rFonts w:ascii="Arial" w:hAnsi="Arial" w:cs="Arial"/>
                <w:b/>
                <w:sz w:val="22"/>
                <w:szCs w:val="18"/>
              </w:rPr>
              <w:t>5</w:t>
            </w:r>
          </w:p>
        </w:tc>
        <w:tc>
          <w:tcPr>
            <w:tcW w:w="1832" w:type="dxa"/>
            <w:shd w:val="clear" w:color="000000" w:fill="FFFFFF"/>
            <w:vAlign w:val="center"/>
          </w:tcPr>
          <w:p w14:paraId="34E9304F" w14:textId="6783C579" w:rsidR="00934B51" w:rsidRPr="00594266" w:rsidRDefault="00934B51" w:rsidP="00934B51">
            <w:pPr>
              <w:jc w:val="both"/>
              <w:rPr>
                <w:rFonts w:ascii="Arial" w:hAnsi="Arial" w:cs="Arial"/>
                <w:szCs w:val="18"/>
              </w:rPr>
            </w:pPr>
            <w:r>
              <w:rPr>
                <w:rFonts w:ascii="Arial" w:hAnsi="Arial" w:cs="Arial"/>
                <w:szCs w:val="18"/>
              </w:rPr>
              <w:t xml:space="preserve">Porcentaje de notificaciones enviada a instituciones dentro de ocho días corridos, sobre la evaluación obtenida de la solicitud para ingresar al Registro de Donatarios en el año t. </w:t>
            </w:r>
          </w:p>
        </w:tc>
        <w:tc>
          <w:tcPr>
            <w:tcW w:w="1984" w:type="dxa"/>
            <w:shd w:val="clear" w:color="000000" w:fill="FFFFFF"/>
            <w:vAlign w:val="center"/>
          </w:tcPr>
          <w:p w14:paraId="70EF087C" w14:textId="453B9F27" w:rsidR="00934B51" w:rsidRPr="004A3100" w:rsidRDefault="00934B51" w:rsidP="00934B51">
            <w:pPr>
              <w:jc w:val="both"/>
              <w:rPr>
                <w:rFonts w:ascii="Arial" w:hAnsi="Arial" w:cs="Arial"/>
                <w:szCs w:val="18"/>
                <w:lang w:val="es-CL"/>
              </w:rPr>
            </w:pPr>
            <w:r>
              <w:rPr>
                <w:rFonts w:ascii="Arial" w:hAnsi="Arial" w:cs="Arial"/>
                <w:szCs w:val="18"/>
              </w:rPr>
              <w:t>(</w:t>
            </w:r>
            <w:r w:rsidRPr="00B163BE">
              <w:rPr>
                <w:rFonts w:ascii="Arial" w:hAnsi="Arial" w:cs="Arial"/>
                <w:szCs w:val="18"/>
              </w:rPr>
              <w:t>N°</w:t>
            </w:r>
            <w:r>
              <w:rPr>
                <w:rFonts w:ascii="Arial" w:hAnsi="Arial" w:cs="Arial"/>
                <w:szCs w:val="18"/>
              </w:rPr>
              <w:t xml:space="preserve"> de notificaciones enviadas al instituciones dentro de ocho días corridos, sobre la evaluación obtenida de la solicitud para ingresar al Registro de Donatarios ene l año t / N° total de notificaciones sobre evaluaciones realizadas por el Concejo de Donaciones Sociales sobre el ingreso al Registro de Donatarios en el año t) * 100</w:t>
            </w:r>
          </w:p>
        </w:tc>
        <w:tc>
          <w:tcPr>
            <w:tcW w:w="1276" w:type="dxa"/>
            <w:shd w:val="clear" w:color="000000" w:fill="FFFFFF"/>
            <w:vAlign w:val="center"/>
          </w:tcPr>
          <w:p w14:paraId="1D256952" w14:textId="3672F018" w:rsidR="00934B51" w:rsidRPr="00592C80" w:rsidRDefault="00934B51" w:rsidP="00934B51">
            <w:pPr>
              <w:jc w:val="center"/>
              <w:rPr>
                <w:rFonts w:ascii="Arial" w:hAnsi="Arial" w:cs="Arial"/>
                <w:color w:val="000000"/>
                <w:szCs w:val="16"/>
              </w:rPr>
            </w:pPr>
            <w:r>
              <w:rPr>
                <w:rFonts w:ascii="Arial" w:hAnsi="Arial" w:cs="Arial"/>
                <w:color w:val="000000"/>
                <w:szCs w:val="16"/>
              </w:rPr>
              <w:t>6</w:t>
            </w:r>
            <w:r>
              <w:rPr>
                <w:rFonts w:ascii="Arial" w:hAnsi="Arial" w:cs="Arial"/>
                <w:color w:val="000000"/>
                <w:szCs w:val="16"/>
              </w:rPr>
              <w:t>8</w:t>
            </w:r>
            <w:r>
              <w:rPr>
                <w:rFonts w:ascii="Arial" w:hAnsi="Arial" w:cs="Arial"/>
                <w:color w:val="000000"/>
                <w:szCs w:val="16"/>
              </w:rPr>
              <w:t xml:space="preserve"> / 7</w:t>
            </w:r>
            <w:r>
              <w:rPr>
                <w:rFonts w:ascii="Arial" w:hAnsi="Arial" w:cs="Arial"/>
                <w:color w:val="000000"/>
                <w:szCs w:val="16"/>
              </w:rPr>
              <w:t>2</w:t>
            </w:r>
          </w:p>
        </w:tc>
        <w:tc>
          <w:tcPr>
            <w:tcW w:w="851" w:type="dxa"/>
            <w:shd w:val="clear" w:color="auto" w:fill="FFFFFF"/>
            <w:vAlign w:val="center"/>
          </w:tcPr>
          <w:p w14:paraId="3F463466" w14:textId="0D0B92E6" w:rsidR="00934B51" w:rsidRPr="007D007C" w:rsidRDefault="00934B51" w:rsidP="00934B51">
            <w:pPr>
              <w:jc w:val="center"/>
              <w:rPr>
                <w:rFonts w:ascii="Arial" w:hAnsi="Arial" w:cs="Arial"/>
                <w:szCs w:val="18"/>
              </w:rPr>
            </w:pPr>
            <w:r>
              <w:rPr>
                <w:rFonts w:ascii="Arial" w:hAnsi="Arial" w:cs="Arial"/>
                <w:szCs w:val="18"/>
              </w:rPr>
              <w:t>9</w:t>
            </w:r>
            <w:r>
              <w:rPr>
                <w:rFonts w:ascii="Arial" w:hAnsi="Arial" w:cs="Arial"/>
                <w:szCs w:val="18"/>
              </w:rPr>
              <w:t>4</w:t>
            </w:r>
            <w:r>
              <w:rPr>
                <w:rFonts w:ascii="Arial" w:hAnsi="Arial" w:cs="Arial"/>
                <w:szCs w:val="18"/>
              </w:rPr>
              <w:t>%</w:t>
            </w:r>
          </w:p>
        </w:tc>
        <w:tc>
          <w:tcPr>
            <w:tcW w:w="708" w:type="dxa"/>
            <w:shd w:val="clear" w:color="000000" w:fill="FFFFFF"/>
            <w:vAlign w:val="center"/>
          </w:tcPr>
          <w:p w14:paraId="0354FD15" w14:textId="7A831D42" w:rsidR="00934B51" w:rsidRPr="007D007C" w:rsidRDefault="00934B51" w:rsidP="00934B5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E7DC1CD" w14:textId="130672A7" w:rsidR="00934B51" w:rsidRPr="00E43A5A" w:rsidRDefault="00934B51" w:rsidP="00934B51">
            <w:pPr>
              <w:jc w:val="center"/>
              <w:rPr>
                <w:rFonts w:ascii="Arial" w:hAnsi="Arial" w:cs="Arial"/>
                <w:b/>
                <w:szCs w:val="18"/>
              </w:rPr>
            </w:pPr>
            <w:r w:rsidRPr="00E43A5A">
              <w:rPr>
                <w:rFonts w:ascii="Arial" w:hAnsi="Arial" w:cs="Arial"/>
                <w:b/>
                <w:szCs w:val="18"/>
              </w:rPr>
              <w:t>100%</w:t>
            </w:r>
          </w:p>
        </w:tc>
        <w:tc>
          <w:tcPr>
            <w:tcW w:w="1276" w:type="dxa"/>
            <w:gridSpan w:val="2"/>
            <w:shd w:val="clear" w:color="000000" w:fill="FFFFFF"/>
            <w:vAlign w:val="center"/>
          </w:tcPr>
          <w:p w14:paraId="6980D7FF" w14:textId="0B7DDFEA" w:rsidR="00934B51" w:rsidRPr="00E43A5A" w:rsidRDefault="00E43A5A" w:rsidP="00934B51">
            <w:pPr>
              <w:jc w:val="center"/>
              <w:rPr>
                <w:rFonts w:ascii="Arial" w:hAnsi="Arial" w:cs="Arial"/>
                <w:b/>
                <w:szCs w:val="18"/>
              </w:rPr>
            </w:pPr>
            <w:r w:rsidRPr="00E43A5A">
              <w:rPr>
                <w:rFonts w:ascii="Arial" w:hAnsi="Arial" w:cs="Arial"/>
                <w:b/>
                <w:szCs w:val="18"/>
              </w:rPr>
              <w:t>130</w:t>
            </w:r>
            <w:r w:rsidR="00934B51" w:rsidRPr="00E43A5A">
              <w:rPr>
                <w:rFonts w:ascii="Arial" w:hAnsi="Arial" w:cs="Arial"/>
                <w:b/>
                <w:szCs w:val="18"/>
              </w:rPr>
              <w:t xml:space="preserve"> / </w:t>
            </w:r>
            <w:r w:rsidRPr="00E43A5A">
              <w:rPr>
                <w:rFonts w:ascii="Arial" w:hAnsi="Arial" w:cs="Arial"/>
                <w:b/>
                <w:szCs w:val="18"/>
              </w:rPr>
              <w:t>130</w:t>
            </w:r>
          </w:p>
        </w:tc>
        <w:tc>
          <w:tcPr>
            <w:tcW w:w="8787" w:type="dxa"/>
            <w:shd w:val="clear" w:color="000000" w:fill="FFFFFF"/>
            <w:vAlign w:val="center"/>
          </w:tcPr>
          <w:p w14:paraId="51E16E02" w14:textId="77777777" w:rsidR="00934B51" w:rsidRDefault="00934B51" w:rsidP="00934B51">
            <w:pPr>
              <w:shd w:val="clear" w:color="auto" w:fill="FFFFFF" w:themeFill="background1"/>
              <w:jc w:val="both"/>
              <w:rPr>
                <w:rFonts w:ascii="Arial" w:hAnsi="Arial" w:cs="Arial"/>
                <w:bCs/>
                <w:szCs w:val="18"/>
              </w:rPr>
            </w:pPr>
            <w:r>
              <w:rPr>
                <w:rFonts w:ascii="Arial" w:hAnsi="Arial" w:cs="Arial"/>
                <w:b/>
                <w:bCs/>
                <w:szCs w:val="18"/>
              </w:rPr>
              <w:t xml:space="preserve">a) </w:t>
            </w:r>
            <w:r w:rsidRPr="00101AB7">
              <w:rPr>
                <w:rFonts w:ascii="Arial" w:hAnsi="Arial" w:cs="Arial"/>
                <w:bCs/>
                <w:szCs w:val="18"/>
              </w:rPr>
              <w:t>Se entiende el Registro de Donatarios</w:t>
            </w:r>
            <w:r>
              <w:rPr>
                <w:rFonts w:ascii="Arial" w:hAnsi="Arial" w:cs="Arial"/>
                <w:bCs/>
                <w:szCs w:val="18"/>
              </w:rPr>
              <w:t xml:space="preserve"> como un registro público de fundaciones o corporaciones que han sido calificadas por el Concejo de Donaciones Sociales para recibir donaciones.</w:t>
            </w:r>
          </w:p>
          <w:p w14:paraId="50462C73" w14:textId="77777777" w:rsidR="00934B51" w:rsidRDefault="00934B51" w:rsidP="00934B51">
            <w:pPr>
              <w:shd w:val="clear" w:color="auto" w:fill="FFFFFF" w:themeFill="background1"/>
              <w:jc w:val="both"/>
              <w:rPr>
                <w:rFonts w:ascii="Arial" w:hAnsi="Arial" w:cs="Arial"/>
                <w:bCs/>
                <w:szCs w:val="18"/>
              </w:rPr>
            </w:pPr>
            <w:r w:rsidRPr="00101AB7">
              <w:rPr>
                <w:rFonts w:ascii="Arial" w:hAnsi="Arial" w:cs="Arial"/>
                <w:b/>
                <w:bCs/>
                <w:szCs w:val="18"/>
              </w:rPr>
              <w:t>b)</w:t>
            </w:r>
            <w:r>
              <w:rPr>
                <w:rFonts w:ascii="Arial" w:hAnsi="Arial" w:cs="Arial"/>
                <w:bCs/>
                <w:szCs w:val="18"/>
              </w:rPr>
              <w:t xml:space="preserve"> El procedimiento de notificación de las instituciones postulantes es el siguiente:</w:t>
            </w:r>
          </w:p>
          <w:p w14:paraId="2F241CEF" w14:textId="77777777" w:rsidR="00934B51" w:rsidRDefault="00934B51" w:rsidP="00934B51">
            <w:pPr>
              <w:shd w:val="clear" w:color="auto" w:fill="FFFFFF" w:themeFill="background1"/>
              <w:jc w:val="both"/>
              <w:rPr>
                <w:rFonts w:ascii="Arial" w:hAnsi="Arial" w:cs="Arial"/>
                <w:bCs/>
                <w:szCs w:val="18"/>
              </w:rPr>
            </w:pPr>
            <w:r>
              <w:rPr>
                <w:rFonts w:ascii="Arial" w:hAnsi="Arial" w:cs="Arial"/>
                <w:bCs/>
                <w:szCs w:val="18"/>
              </w:rPr>
              <w:t xml:space="preserve"> 1. Las instituciones deben presentar la documentación en la Oficina de Partes del Ministerio de Desarrollo Social.</w:t>
            </w:r>
          </w:p>
          <w:p w14:paraId="1776B88B" w14:textId="77777777" w:rsidR="00934B51" w:rsidRDefault="00934B51" w:rsidP="00934B51">
            <w:pPr>
              <w:shd w:val="clear" w:color="auto" w:fill="FFFFFF" w:themeFill="background1"/>
              <w:jc w:val="both"/>
              <w:rPr>
                <w:rFonts w:ascii="Arial" w:hAnsi="Arial" w:cs="Arial"/>
                <w:bCs/>
                <w:szCs w:val="18"/>
              </w:rPr>
            </w:pPr>
            <w:r>
              <w:rPr>
                <w:rFonts w:ascii="Arial" w:hAnsi="Arial" w:cs="Arial"/>
                <w:bCs/>
                <w:szCs w:val="18"/>
              </w:rPr>
              <w:t xml:space="preserve"> 2. La notificación sobre la decisión del Concejo será realizada por la Secretaría Técnica de Donaciones Sociales, por medio de una carta certificada enviada a la institución.</w:t>
            </w:r>
          </w:p>
          <w:p w14:paraId="40927D6B" w14:textId="77777777" w:rsidR="00934B51" w:rsidRDefault="00934B51" w:rsidP="00934B51">
            <w:pPr>
              <w:shd w:val="clear" w:color="auto" w:fill="FFFFFF" w:themeFill="background1"/>
              <w:jc w:val="both"/>
              <w:rPr>
                <w:rFonts w:ascii="Arial" w:hAnsi="Arial" w:cs="Arial"/>
                <w:bCs/>
                <w:szCs w:val="18"/>
              </w:rPr>
            </w:pPr>
            <w:r>
              <w:rPr>
                <w:rFonts w:ascii="Arial" w:hAnsi="Arial" w:cs="Arial"/>
                <w:bCs/>
                <w:szCs w:val="18"/>
              </w:rPr>
              <w:t xml:space="preserve"> 3. Los días comienzan a contabilizarse una vez que el Concejo ha sesionado y ha decidido sobre la solicitud, fecha que queda registrada en las Actas del Consejo.</w:t>
            </w:r>
          </w:p>
          <w:p w14:paraId="4EE2524E" w14:textId="77777777" w:rsidR="00934B51" w:rsidRDefault="00934B51" w:rsidP="00934B51">
            <w:pPr>
              <w:shd w:val="clear" w:color="auto" w:fill="FFFFFF" w:themeFill="background1"/>
              <w:jc w:val="both"/>
              <w:rPr>
                <w:rFonts w:ascii="Arial" w:hAnsi="Arial" w:cs="Arial"/>
                <w:bCs/>
                <w:szCs w:val="18"/>
              </w:rPr>
            </w:pPr>
            <w:r>
              <w:rPr>
                <w:rFonts w:ascii="Arial" w:hAnsi="Arial" w:cs="Arial"/>
                <w:bCs/>
                <w:szCs w:val="18"/>
              </w:rPr>
              <w:t xml:space="preserve"> 4. Se considera como fecha de notificación aquella fecha de despacho desde la División de Cooperación Público privada en SISCO.</w:t>
            </w:r>
          </w:p>
          <w:p w14:paraId="592CAC96" w14:textId="5B7C4B68" w:rsidR="00934B51" w:rsidRPr="007D007C" w:rsidRDefault="00934B51" w:rsidP="00934B51">
            <w:pPr>
              <w:jc w:val="both"/>
              <w:rPr>
                <w:rFonts w:ascii="Arial" w:hAnsi="Arial" w:cs="Arial"/>
                <w:szCs w:val="18"/>
              </w:rPr>
            </w:pPr>
            <w:r w:rsidRPr="00101AB7">
              <w:rPr>
                <w:rFonts w:ascii="Arial" w:hAnsi="Arial" w:cs="Arial"/>
                <w:b/>
                <w:bCs/>
                <w:szCs w:val="18"/>
              </w:rPr>
              <w:t>c)</w:t>
            </w:r>
            <w:r>
              <w:rPr>
                <w:rFonts w:ascii="Arial" w:hAnsi="Arial" w:cs="Arial"/>
                <w:bCs/>
                <w:szCs w:val="18"/>
              </w:rPr>
              <w:t xml:space="preserve"> Se considera en el indicador aquellas instituciones que son evaluadas en las sesiones del Concejo durante el año t.</w:t>
            </w:r>
          </w:p>
        </w:tc>
      </w:tr>
      <w:tr w:rsidR="00934B51" w:rsidRPr="00007E1F" w14:paraId="11BFD62F" w14:textId="77777777" w:rsidTr="004812EF">
        <w:trPr>
          <w:cantSplit/>
          <w:trHeight w:val="1115"/>
          <w:jc w:val="center"/>
        </w:trPr>
        <w:tc>
          <w:tcPr>
            <w:tcW w:w="568" w:type="dxa"/>
            <w:shd w:val="clear" w:color="000000" w:fill="FFFFFF"/>
            <w:vAlign w:val="center"/>
          </w:tcPr>
          <w:p w14:paraId="0D0AE9CA" w14:textId="34C82AAE" w:rsidR="00934B51" w:rsidRPr="007D007C" w:rsidRDefault="00934B51" w:rsidP="00934B51">
            <w:pPr>
              <w:jc w:val="center"/>
              <w:rPr>
                <w:rFonts w:ascii="Arial" w:hAnsi="Arial" w:cs="Arial"/>
                <w:b/>
                <w:sz w:val="22"/>
                <w:szCs w:val="18"/>
              </w:rPr>
            </w:pPr>
            <w:r>
              <w:rPr>
                <w:rFonts w:ascii="Arial" w:hAnsi="Arial" w:cs="Arial"/>
                <w:b/>
                <w:sz w:val="22"/>
                <w:szCs w:val="18"/>
              </w:rPr>
              <w:lastRenderedPageBreak/>
              <w:t>6</w:t>
            </w:r>
          </w:p>
        </w:tc>
        <w:tc>
          <w:tcPr>
            <w:tcW w:w="1832" w:type="dxa"/>
            <w:shd w:val="clear" w:color="000000" w:fill="FFFFFF"/>
            <w:vAlign w:val="center"/>
          </w:tcPr>
          <w:p w14:paraId="76B7A400" w14:textId="77777777" w:rsidR="00934B51" w:rsidRPr="00594266" w:rsidRDefault="00934B51" w:rsidP="00934B51">
            <w:pPr>
              <w:jc w:val="both"/>
              <w:rPr>
                <w:rFonts w:ascii="Arial" w:hAnsi="Arial" w:cs="Arial"/>
                <w:szCs w:val="18"/>
              </w:rPr>
            </w:pPr>
            <w:r w:rsidRPr="004A3100">
              <w:rPr>
                <w:rFonts w:ascii="Arial" w:hAnsi="Arial" w:cs="Arial"/>
                <w:szCs w:val="18"/>
                <w:lang w:val="es-CL"/>
              </w:rPr>
              <w:t>Porcentaje de Progra</w:t>
            </w:r>
            <w:r>
              <w:rPr>
                <w:rFonts w:ascii="Arial" w:hAnsi="Arial" w:cs="Arial"/>
                <w:szCs w:val="18"/>
                <w:lang w:val="es-CL"/>
              </w:rPr>
              <w:t>mas e Iniciativas Sociales con Informes de S</w:t>
            </w:r>
            <w:r w:rsidRPr="004A3100">
              <w:rPr>
                <w:rFonts w:ascii="Arial" w:hAnsi="Arial" w:cs="Arial"/>
                <w:szCs w:val="18"/>
                <w:lang w:val="es-CL"/>
              </w:rPr>
              <w:t xml:space="preserve">eguimiento en el año t, </w:t>
            </w:r>
            <w:r>
              <w:rPr>
                <w:rFonts w:ascii="Arial" w:hAnsi="Arial" w:cs="Arial"/>
                <w:szCs w:val="18"/>
                <w:lang w:val="es-CL"/>
              </w:rPr>
              <w:t>del total de Programas e Iniciativas S</w:t>
            </w:r>
            <w:r w:rsidRPr="004A3100">
              <w:rPr>
                <w:rFonts w:ascii="Arial" w:hAnsi="Arial" w:cs="Arial"/>
                <w:szCs w:val="18"/>
                <w:lang w:val="es-CL"/>
              </w:rPr>
              <w:t>ociales que cumplan los criterios para ingresar al proceso de seguimiento.</w:t>
            </w:r>
          </w:p>
        </w:tc>
        <w:tc>
          <w:tcPr>
            <w:tcW w:w="1984" w:type="dxa"/>
            <w:shd w:val="clear" w:color="000000" w:fill="FFFFFF"/>
            <w:vAlign w:val="center"/>
          </w:tcPr>
          <w:p w14:paraId="7E1B87FC" w14:textId="77777777" w:rsidR="00934B51" w:rsidRPr="004A3100" w:rsidRDefault="00934B51" w:rsidP="00934B51">
            <w:pPr>
              <w:jc w:val="both"/>
              <w:rPr>
                <w:rFonts w:ascii="Arial" w:hAnsi="Arial" w:cs="Arial"/>
                <w:szCs w:val="18"/>
                <w:lang w:val="es-CL"/>
              </w:rPr>
            </w:pPr>
            <w:r w:rsidRPr="004A3100">
              <w:rPr>
                <w:rFonts w:ascii="Arial" w:hAnsi="Arial" w:cs="Arial"/>
                <w:szCs w:val="18"/>
                <w:lang w:val="es-CL"/>
              </w:rPr>
              <w:t>(N° de Progra</w:t>
            </w:r>
            <w:r>
              <w:rPr>
                <w:rFonts w:ascii="Arial" w:hAnsi="Arial" w:cs="Arial"/>
                <w:szCs w:val="18"/>
                <w:lang w:val="es-CL"/>
              </w:rPr>
              <w:t>mas e Iniciativas Sociales con Informes de S</w:t>
            </w:r>
            <w:r w:rsidRPr="004A3100">
              <w:rPr>
                <w:rFonts w:ascii="Arial" w:hAnsi="Arial" w:cs="Arial"/>
                <w:szCs w:val="18"/>
                <w:lang w:val="es-CL"/>
              </w:rPr>
              <w:t>eguimiento en el año t / N°  total de Programas e</w:t>
            </w:r>
            <w:r>
              <w:rPr>
                <w:rFonts w:ascii="Arial" w:hAnsi="Arial" w:cs="Arial"/>
                <w:szCs w:val="18"/>
                <w:lang w:val="es-CL"/>
              </w:rPr>
              <w:t xml:space="preserve"> Iniciativas Sociales que cumpla</w:t>
            </w:r>
            <w:r w:rsidRPr="004A3100">
              <w:rPr>
                <w:rFonts w:ascii="Arial" w:hAnsi="Arial" w:cs="Arial"/>
                <w:szCs w:val="18"/>
                <w:lang w:val="es-CL"/>
              </w:rPr>
              <w:t>n</w:t>
            </w:r>
            <w:r>
              <w:rPr>
                <w:rFonts w:ascii="Arial" w:hAnsi="Arial" w:cs="Arial"/>
                <w:szCs w:val="18"/>
                <w:lang w:val="es-CL"/>
              </w:rPr>
              <w:t xml:space="preserve"> con</w:t>
            </w:r>
            <w:r w:rsidRPr="004A3100">
              <w:rPr>
                <w:rFonts w:ascii="Arial" w:hAnsi="Arial" w:cs="Arial"/>
                <w:szCs w:val="18"/>
                <w:lang w:val="es-CL"/>
              </w:rPr>
              <w:t xml:space="preserve"> los criterios para ingresar al proceso de seguimie</w:t>
            </w:r>
            <w:r>
              <w:rPr>
                <w:rFonts w:ascii="Arial" w:hAnsi="Arial" w:cs="Arial"/>
                <w:szCs w:val="18"/>
                <w:lang w:val="es-CL"/>
              </w:rPr>
              <w:t>nto</w:t>
            </w:r>
            <w:r w:rsidRPr="004A3100">
              <w:rPr>
                <w:rFonts w:ascii="Arial" w:hAnsi="Arial" w:cs="Arial"/>
                <w:szCs w:val="18"/>
                <w:lang w:val="es-CL"/>
              </w:rPr>
              <w:t xml:space="preserve">, </w:t>
            </w:r>
            <w:r>
              <w:rPr>
                <w:rFonts w:ascii="Arial" w:hAnsi="Arial" w:cs="Arial"/>
                <w:szCs w:val="18"/>
                <w:lang w:val="es-CL"/>
              </w:rPr>
              <w:t xml:space="preserve"> en </w:t>
            </w:r>
            <w:r w:rsidRPr="004A3100">
              <w:rPr>
                <w:rFonts w:ascii="Arial" w:hAnsi="Arial" w:cs="Arial"/>
                <w:szCs w:val="18"/>
                <w:lang w:val="es-CL"/>
              </w:rPr>
              <w:t>el año t) * 100</w:t>
            </w:r>
          </w:p>
        </w:tc>
        <w:tc>
          <w:tcPr>
            <w:tcW w:w="1276" w:type="dxa"/>
            <w:shd w:val="clear" w:color="000000" w:fill="FFFFFF"/>
            <w:vAlign w:val="center"/>
          </w:tcPr>
          <w:p w14:paraId="013CD5A6" w14:textId="77777777" w:rsidR="00934B51" w:rsidRPr="00592C80" w:rsidRDefault="00934B51" w:rsidP="00934B51">
            <w:pPr>
              <w:jc w:val="center"/>
              <w:rPr>
                <w:rFonts w:ascii="Arial" w:hAnsi="Arial" w:cs="Arial"/>
                <w:color w:val="000000"/>
                <w:szCs w:val="16"/>
              </w:rPr>
            </w:pPr>
            <w:r>
              <w:rPr>
                <w:rFonts w:ascii="Arial" w:hAnsi="Arial" w:cs="Arial"/>
                <w:color w:val="000000"/>
                <w:szCs w:val="16"/>
              </w:rPr>
              <w:t xml:space="preserve">406 </w:t>
            </w:r>
            <w:r w:rsidRPr="00592C80">
              <w:rPr>
                <w:rFonts w:ascii="Arial" w:hAnsi="Arial" w:cs="Arial"/>
                <w:color w:val="000000"/>
                <w:szCs w:val="16"/>
              </w:rPr>
              <w:t>/</w:t>
            </w:r>
            <w:r>
              <w:rPr>
                <w:rFonts w:ascii="Arial" w:hAnsi="Arial" w:cs="Arial"/>
                <w:color w:val="000000"/>
                <w:szCs w:val="16"/>
              </w:rPr>
              <w:t>406</w:t>
            </w:r>
          </w:p>
        </w:tc>
        <w:tc>
          <w:tcPr>
            <w:tcW w:w="851" w:type="dxa"/>
            <w:shd w:val="clear" w:color="auto" w:fill="FFFFFF"/>
            <w:vAlign w:val="center"/>
          </w:tcPr>
          <w:p w14:paraId="15DCE19A" w14:textId="77777777" w:rsidR="00934B51" w:rsidRPr="007D007C" w:rsidRDefault="00934B51" w:rsidP="00934B51">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55C78F70" w14:textId="77777777" w:rsidR="00934B51" w:rsidRPr="007D007C" w:rsidRDefault="00934B51" w:rsidP="00934B5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3D68D65" w14:textId="77777777" w:rsidR="00934B51" w:rsidRPr="00E43A5A" w:rsidRDefault="00934B51" w:rsidP="00934B51">
            <w:pPr>
              <w:jc w:val="center"/>
              <w:rPr>
                <w:rFonts w:ascii="Arial" w:hAnsi="Arial" w:cs="Arial"/>
                <w:b/>
                <w:szCs w:val="18"/>
              </w:rPr>
            </w:pPr>
            <w:r w:rsidRPr="00E43A5A">
              <w:rPr>
                <w:rFonts w:ascii="Arial" w:hAnsi="Arial" w:cs="Arial"/>
                <w:b/>
                <w:szCs w:val="18"/>
              </w:rPr>
              <w:t>100%</w:t>
            </w:r>
          </w:p>
        </w:tc>
        <w:tc>
          <w:tcPr>
            <w:tcW w:w="1276" w:type="dxa"/>
            <w:gridSpan w:val="2"/>
            <w:shd w:val="clear" w:color="000000" w:fill="FFFFFF"/>
            <w:vAlign w:val="center"/>
          </w:tcPr>
          <w:p w14:paraId="38FB4BC9" w14:textId="727B1985" w:rsidR="00934B51" w:rsidRPr="00E43A5A" w:rsidRDefault="00934B51" w:rsidP="00934B51">
            <w:pPr>
              <w:jc w:val="center"/>
              <w:rPr>
                <w:rFonts w:ascii="Arial" w:hAnsi="Arial" w:cs="Arial"/>
                <w:b/>
                <w:szCs w:val="18"/>
              </w:rPr>
            </w:pPr>
            <w:r w:rsidRPr="00E43A5A">
              <w:rPr>
                <w:rFonts w:ascii="Arial" w:hAnsi="Arial" w:cs="Arial"/>
                <w:b/>
                <w:szCs w:val="18"/>
              </w:rPr>
              <w:t>4</w:t>
            </w:r>
            <w:r w:rsidR="00E43A5A" w:rsidRPr="00E43A5A">
              <w:rPr>
                <w:rFonts w:ascii="Arial" w:hAnsi="Arial" w:cs="Arial"/>
                <w:b/>
                <w:szCs w:val="18"/>
              </w:rPr>
              <w:t>59</w:t>
            </w:r>
            <w:r w:rsidRPr="00E43A5A">
              <w:rPr>
                <w:rFonts w:ascii="Arial" w:hAnsi="Arial" w:cs="Arial"/>
                <w:b/>
                <w:szCs w:val="18"/>
              </w:rPr>
              <w:t xml:space="preserve"> / 4</w:t>
            </w:r>
            <w:r w:rsidR="00E43A5A" w:rsidRPr="00E43A5A">
              <w:rPr>
                <w:rFonts w:ascii="Arial" w:hAnsi="Arial" w:cs="Arial"/>
                <w:b/>
                <w:szCs w:val="18"/>
              </w:rPr>
              <w:t>59</w:t>
            </w:r>
          </w:p>
        </w:tc>
        <w:tc>
          <w:tcPr>
            <w:tcW w:w="8787" w:type="dxa"/>
            <w:shd w:val="clear" w:color="000000" w:fill="FFFFFF"/>
            <w:vAlign w:val="center"/>
          </w:tcPr>
          <w:p w14:paraId="1B972DAC" w14:textId="77777777" w:rsidR="00934B51" w:rsidRPr="007D007C" w:rsidRDefault="00934B51" w:rsidP="00934B51">
            <w:pPr>
              <w:jc w:val="both"/>
              <w:rPr>
                <w:rFonts w:ascii="Arial" w:hAnsi="Arial" w:cs="Arial"/>
                <w:szCs w:val="18"/>
              </w:rPr>
            </w:pPr>
            <w:r>
              <w:rPr>
                <w:rFonts w:ascii="Arial" w:hAnsi="Arial" w:cs="Arial"/>
                <w:szCs w:val="18"/>
              </w:rPr>
              <w:t xml:space="preserve">Entre enero y abril del año t, se identifica el universo de Programas e Iniciativas Sociales que participarán en el proceso de seguimiento durante el año t. Los Programas e Iniciativas Sociales a los que se les hará seguimiento en el año t, son aquellos que tuvieron ejecución en t-1, y el seguimiento es respecto de la información del Programa o Iniciativa Social al cierre de su ejecución en diciembre de t-1. </w:t>
            </w:r>
          </w:p>
        </w:tc>
      </w:tr>
      <w:tr w:rsidR="00934B51" w:rsidRPr="00007E1F" w14:paraId="5AAB2EB6" w14:textId="77777777" w:rsidTr="004812EF">
        <w:trPr>
          <w:cantSplit/>
          <w:trHeight w:val="1115"/>
          <w:jc w:val="center"/>
        </w:trPr>
        <w:tc>
          <w:tcPr>
            <w:tcW w:w="568" w:type="dxa"/>
            <w:shd w:val="clear" w:color="000000" w:fill="FFFFFF"/>
            <w:vAlign w:val="center"/>
          </w:tcPr>
          <w:p w14:paraId="02E2A781" w14:textId="61EE2E71" w:rsidR="00934B51" w:rsidRDefault="00934B51" w:rsidP="00934B51">
            <w:pPr>
              <w:jc w:val="center"/>
              <w:rPr>
                <w:rFonts w:ascii="Arial" w:hAnsi="Arial" w:cs="Arial"/>
                <w:b/>
                <w:sz w:val="22"/>
                <w:szCs w:val="18"/>
              </w:rPr>
            </w:pPr>
            <w:r>
              <w:rPr>
                <w:rFonts w:ascii="Arial" w:hAnsi="Arial" w:cs="Arial"/>
                <w:b/>
                <w:sz w:val="22"/>
                <w:szCs w:val="18"/>
              </w:rPr>
              <w:t>7</w:t>
            </w:r>
          </w:p>
        </w:tc>
        <w:tc>
          <w:tcPr>
            <w:tcW w:w="1832" w:type="dxa"/>
            <w:shd w:val="clear" w:color="000000" w:fill="FFFFFF"/>
            <w:vAlign w:val="center"/>
          </w:tcPr>
          <w:p w14:paraId="4C40A70D" w14:textId="7C0840EC" w:rsidR="00934B51" w:rsidRPr="006C3B59" w:rsidRDefault="00934B51" w:rsidP="00934B51">
            <w:pPr>
              <w:shd w:val="clear" w:color="auto" w:fill="FFFFFF" w:themeFill="background1"/>
              <w:jc w:val="both"/>
              <w:rPr>
                <w:rFonts w:ascii="Arial" w:hAnsi="Arial" w:cs="Arial"/>
                <w:szCs w:val="18"/>
              </w:rPr>
            </w:pPr>
            <w:r>
              <w:rPr>
                <w:rFonts w:ascii="Arial" w:hAnsi="Arial" w:cs="Arial"/>
                <w:szCs w:val="18"/>
              </w:rPr>
              <w:t>Porcentaje de documentos de la 3era Ronda de la Encuesta Longitudinal de Primera Infancia ELPI (fase 2018), elaborados en el año t.</w:t>
            </w:r>
          </w:p>
        </w:tc>
        <w:tc>
          <w:tcPr>
            <w:tcW w:w="1984" w:type="dxa"/>
            <w:shd w:val="clear" w:color="000000" w:fill="FFFFFF"/>
            <w:vAlign w:val="center"/>
          </w:tcPr>
          <w:p w14:paraId="6755777D" w14:textId="63AF8D4D" w:rsidR="00934B51" w:rsidRPr="006C3B59" w:rsidRDefault="00934B51" w:rsidP="00934B51">
            <w:pPr>
              <w:shd w:val="clear" w:color="auto" w:fill="FFFFFF" w:themeFill="background1"/>
              <w:jc w:val="both"/>
              <w:rPr>
                <w:rFonts w:ascii="Arial" w:hAnsi="Arial" w:cs="Arial"/>
                <w:szCs w:val="18"/>
              </w:rPr>
            </w:pPr>
            <w:r>
              <w:rPr>
                <w:rFonts w:ascii="Arial" w:hAnsi="Arial" w:cs="Arial"/>
                <w:szCs w:val="18"/>
              </w:rPr>
              <w:t>(N° de documentos de la 3era Ronda de la ELPI elaborados en el año t / N° total de documentos programados para el año t) * 100</w:t>
            </w:r>
          </w:p>
        </w:tc>
        <w:tc>
          <w:tcPr>
            <w:tcW w:w="1276" w:type="dxa"/>
            <w:shd w:val="clear" w:color="000000" w:fill="FFFFFF"/>
            <w:vAlign w:val="center"/>
          </w:tcPr>
          <w:p w14:paraId="54D5D81E" w14:textId="3D2D33D4" w:rsidR="00934B51" w:rsidRDefault="00934B51" w:rsidP="00934B51">
            <w:pPr>
              <w:jc w:val="center"/>
              <w:rPr>
                <w:rFonts w:ascii="Arial" w:hAnsi="Arial" w:cs="Arial"/>
                <w:color w:val="000000"/>
                <w:szCs w:val="16"/>
              </w:rPr>
            </w:pPr>
            <w:r>
              <w:rPr>
                <w:rFonts w:ascii="Arial" w:hAnsi="Arial" w:cs="Arial"/>
                <w:color w:val="000000"/>
                <w:szCs w:val="16"/>
              </w:rPr>
              <w:t>3</w:t>
            </w:r>
            <w:r>
              <w:rPr>
                <w:rFonts w:ascii="Arial" w:hAnsi="Arial" w:cs="Arial"/>
                <w:color w:val="000000"/>
                <w:szCs w:val="16"/>
              </w:rPr>
              <w:t xml:space="preserve"> / 4</w:t>
            </w:r>
          </w:p>
        </w:tc>
        <w:tc>
          <w:tcPr>
            <w:tcW w:w="851" w:type="dxa"/>
            <w:shd w:val="clear" w:color="auto" w:fill="FFFFFF"/>
            <w:vAlign w:val="center"/>
          </w:tcPr>
          <w:p w14:paraId="2AD0CB58" w14:textId="503A0663" w:rsidR="00934B51" w:rsidRDefault="00934B51" w:rsidP="00934B51">
            <w:pPr>
              <w:jc w:val="center"/>
              <w:rPr>
                <w:rFonts w:ascii="Arial" w:hAnsi="Arial" w:cs="Arial"/>
                <w:szCs w:val="18"/>
              </w:rPr>
            </w:pPr>
            <w:r>
              <w:rPr>
                <w:rFonts w:ascii="Arial" w:hAnsi="Arial" w:cs="Arial"/>
                <w:szCs w:val="18"/>
              </w:rPr>
              <w:t>75</w:t>
            </w:r>
            <w:r>
              <w:rPr>
                <w:rFonts w:ascii="Arial" w:hAnsi="Arial" w:cs="Arial"/>
                <w:szCs w:val="18"/>
              </w:rPr>
              <w:t>%</w:t>
            </w:r>
          </w:p>
        </w:tc>
        <w:tc>
          <w:tcPr>
            <w:tcW w:w="708" w:type="dxa"/>
            <w:shd w:val="clear" w:color="000000" w:fill="FFFFFF"/>
            <w:vAlign w:val="center"/>
          </w:tcPr>
          <w:p w14:paraId="2715BDA5" w14:textId="7AE7AE29" w:rsidR="00934B51" w:rsidRDefault="00934B51" w:rsidP="00934B5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8193225" w14:textId="0B187FBD" w:rsidR="00934B51" w:rsidRPr="00051653" w:rsidRDefault="00051653" w:rsidP="00934B51">
            <w:pPr>
              <w:jc w:val="center"/>
              <w:rPr>
                <w:rFonts w:ascii="Arial" w:hAnsi="Arial" w:cs="Arial"/>
                <w:b/>
                <w:szCs w:val="18"/>
              </w:rPr>
            </w:pPr>
            <w:r w:rsidRPr="00051653">
              <w:rPr>
                <w:rFonts w:ascii="Arial" w:hAnsi="Arial" w:cs="Arial"/>
                <w:b/>
                <w:szCs w:val="18"/>
              </w:rPr>
              <w:t>100</w:t>
            </w:r>
            <w:r w:rsidR="00934B51" w:rsidRPr="00051653">
              <w:rPr>
                <w:rFonts w:ascii="Arial" w:hAnsi="Arial" w:cs="Arial"/>
                <w:b/>
                <w:szCs w:val="18"/>
              </w:rPr>
              <w:t>%</w:t>
            </w:r>
          </w:p>
        </w:tc>
        <w:tc>
          <w:tcPr>
            <w:tcW w:w="1276" w:type="dxa"/>
            <w:gridSpan w:val="2"/>
            <w:shd w:val="clear" w:color="000000" w:fill="FFFFFF"/>
            <w:vAlign w:val="center"/>
          </w:tcPr>
          <w:p w14:paraId="49A568B1" w14:textId="10E1C453" w:rsidR="00934B51" w:rsidRPr="00051653" w:rsidRDefault="00051653" w:rsidP="00934B51">
            <w:pPr>
              <w:jc w:val="center"/>
              <w:rPr>
                <w:rFonts w:ascii="Arial" w:hAnsi="Arial" w:cs="Arial"/>
                <w:b/>
                <w:szCs w:val="18"/>
              </w:rPr>
            </w:pPr>
            <w:r w:rsidRPr="00051653">
              <w:rPr>
                <w:rFonts w:ascii="Arial" w:hAnsi="Arial" w:cs="Arial"/>
                <w:b/>
                <w:szCs w:val="18"/>
              </w:rPr>
              <w:t>3</w:t>
            </w:r>
            <w:r w:rsidR="00934B51" w:rsidRPr="00051653">
              <w:rPr>
                <w:rFonts w:ascii="Arial" w:hAnsi="Arial" w:cs="Arial"/>
                <w:b/>
                <w:szCs w:val="18"/>
              </w:rPr>
              <w:t xml:space="preserve"> / 4</w:t>
            </w:r>
          </w:p>
        </w:tc>
        <w:tc>
          <w:tcPr>
            <w:tcW w:w="8787" w:type="dxa"/>
            <w:shd w:val="clear" w:color="000000" w:fill="FFFFFF"/>
            <w:vAlign w:val="center"/>
          </w:tcPr>
          <w:p w14:paraId="17CFBA5D" w14:textId="77777777" w:rsidR="00934B51" w:rsidRDefault="00934B51" w:rsidP="00934B51">
            <w:pPr>
              <w:shd w:val="clear" w:color="auto" w:fill="FFFFFF" w:themeFill="background1"/>
              <w:jc w:val="both"/>
              <w:rPr>
                <w:rFonts w:ascii="Arial" w:hAnsi="Arial" w:cs="Arial"/>
                <w:szCs w:val="18"/>
              </w:rPr>
            </w:pPr>
            <w:r w:rsidRPr="00934B51">
              <w:rPr>
                <w:rFonts w:ascii="Arial" w:hAnsi="Arial" w:cs="Arial"/>
                <w:szCs w:val="18"/>
              </w:rPr>
              <w:t xml:space="preserve">a) Los documentos de la 3ra ronda de ELPI, a elaborar durante el año 2018, podrán ser de dos tipos: 1. Documentos de resultados longitudinales y/o transversales. 2. Documentos metodológicos que acopian los antecedentes acerca de los aspectos y consideraciones técnicas, involucradas en la toma de decisiones en los procesos de producción de información, como por ejemplo en los diseños de instrumentos, diseños muestrales y construcción de indicadores. </w:t>
            </w:r>
          </w:p>
          <w:p w14:paraId="69AE316E" w14:textId="4FB61851" w:rsidR="00934B51" w:rsidRDefault="00934B51" w:rsidP="00934B51">
            <w:pPr>
              <w:shd w:val="clear" w:color="auto" w:fill="FFFFFF" w:themeFill="background1"/>
              <w:jc w:val="both"/>
              <w:rPr>
                <w:rFonts w:ascii="Arial" w:hAnsi="Arial" w:cs="Arial"/>
                <w:b/>
                <w:bCs/>
                <w:szCs w:val="18"/>
              </w:rPr>
            </w:pPr>
            <w:r w:rsidRPr="00934B51">
              <w:rPr>
                <w:rFonts w:ascii="Arial" w:hAnsi="Arial" w:cs="Arial"/>
                <w:szCs w:val="18"/>
              </w:rPr>
              <w:t>b) La planificación de los documentos definitivos a elaborar serán propuestos a la autoridad, para su validación, a más tardar el 30 de Abril del año t.</w:t>
            </w:r>
          </w:p>
        </w:tc>
      </w:tr>
      <w:tr w:rsidR="00934B51" w:rsidRPr="00007E1F" w14:paraId="46484DBC" w14:textId="77777777" w:rsidTr="004812EF">
        <w:trPr>
          <w:cantSplit/>
          <w:trHeight w:val="1115"/>
          <w:jc w:val="center"/>
        </w:trPr>
        <w:tc>
          <w:tcPr>
            <w:tcW w:w="568" w:type="dxa"/>
            <w:shd w:val="clear" w:color="000000" w:fill="FFFFFF"/>
            <w:vAlign w:val="center"/>
          </w:tcPr>
          <w:p w14:paraId="719E37AC" w14:textId="0659D24B" w:rsidR="00934B51" w:rsidRDefault="00934B51" w:rsidP="00934B51">
            <w:pPr>
              <w:jc w:val="center"/>
              <w:rPr>
                <w:rFonts w:ascii="Arial" w:hAnsi="Arial" w:cs="Arial"/>
                <w:b/>
                <w:sz w:val="22"/>
                <w:szCs w:val="18"/>
              </w:rPr>
            </w:pPr>
            <w:r>
              <w:rPr>
                <w:rFonts w:ascii="Arial" w:hAnsi="Arial" w:cs="Arial"/>
                <w:b/>
                <w:sz w:val="22"/>
                <w:szCs w:val="18"/>
              </w:rPr>
              <w:t>8</w:t>
            </w:r>
          </w:p>
        </w:tc>
        <w:tc>
          <w:tcPr>
            <w:tcW w:w="1832" w:type="dxa"/>
            <w:shd w:val="clear" w:color="000000" w:fill="FFFFFF"/>
            <w:vAlign w:val="center"/>
          </w:tcPr>
          <w:p w14:paraId="5DCAC282" w14:textId="05ECD76D" w:rsidR="00934B51" w:rsidRPr="006C3B59" w:rsidRDefault="00934B51" w:rsidP="00934B51">
            <w:pPr>
              <w:shd w:val="clear" w:color="auto" w:fill="FFFFFF" w:themeFill="background1"/>
              <w:jc w:val="both"/>
              <w:rPr>
                <w:rFonts w:ascii="Arial" w:hAnsi="Arial" w:cs="Arial"/>
                <w:szCs w:val="18"/>
              </w:rPr>
            </w:pPr>
            <w:r w:rsidRPr="00873068">
              <w:rPr>
                <w:rFonts w:ascii="Arial" w:hAnsi="Arial" w:cs="Arial"/>
                <w:szCs w:val="18"/>
              </w:rPr>
              <w:t>Porcentaje de meses del año t en que la actualización de la Calificación Socioeconómica queda disponible en la plataforma del Registro Social de Hogares durante el primer día hábil del mes.</w:t>
            </w:r>
          </w:p>
        </w:tc>
        <w:tc>
          <w:tcPr>
            <w:tcW w:w="1984" w:type="dxa"/>
            <w:shd w:val="clear" w:color="000000" w:fill="FFFFFF"/>
            <w:vAlign w:val="center"/>
          </w:tcPr>
          <w:p w14:paraId="4694ED56" w14:textId="5FD38C52" w:rsidR="00934B51" w:rsidRPr="006C3B59" w:rsidRDefault="00934B51" w:rsidP="00934B51">
            <w:pPr>
              <w:shd w:val="clear" w:color="auto" w:fill="FFFFFF" w:themeFill="background1"/>
              <w:jc w:val="both"/>
              <w:rPr>
                <w:rFonts w:ascii="Arial" w:hAnsi="Arial" w:cs="Arial"/>
                <w:szCs w:val="18"/>
              </w:rPr>
            </w:pPr>
            <w:r w:rsidRPr="00873068">
              <w:rPr>
                <w:rFonts w:ascii="Arial" w:hAnsi="Arial" w:cs="Arial"/>
                <w:szCs w:val="18"/>
              </w:rPr>
              <w:t>(N° de meses del año t en que la actualización de la Calificación Socioeconómica está disponible en la plataforma del Registro Social de Hogares durante el primer día hábil del mes /12) *100</w:t>
            </w:r>
          </w:p>
        </w:tc>
        <w:tc>
          <w:tcPr>
            <w:tcW w:w="1276" w:type="dxa"/>
            <w:shd w:val="clear" w:color="000000" w:fill="FFFFFF"/>
            <w:vAlign w:val="center"/>
          </w:tcPr>
          <w:p w14:paraId="5A61DC99" w14:textId="79480D05" w:rsidR="00934B51" w:rsidRDefault="00934B51" w:rsidP="00934B51">
            <w:pPr>
              <w:jc w:val="center"/>
              <w:rPr>
                <w:rFonts w:ascii="Arial" w:hAnsi="Arial" w:cs="Arial"/>
                <w:color w:val="000000"/>
                <w:szCs w:val="16"/>
              </w:rPr>
            </w:pPr>
            <w:r>
              <w:t>10 / 12</w:t>
            </w:r>
          </w:p>
        </w:tc>
        <w:tc>
          <w:tcPr>
            <w:tcW w:w="851" w:type="dxa"/>
            <w:shd w:val="clear" w:color="auto" w:fill="FFFFFF"/>
            <w:vAlign w:val="center"/>
          </w:tcPr>
          <w:p w14:paraId="7758CA0C" w14:textId="3259B409" w:rsidR="00934B51" w:rsidRDefault="00934B51" w:rsidP="00934B51">
            <w:pPr>
              <w:jc w:val="center"/>
              <w:rPr>
                <w:rFonts w:ascii="Arial" w:hAnsi="Arial" w:cs="Arial"/>
                <w:szCs w:val="18"/>
              </w:rPr>
            </w:pPr>
            <w:r>
              <w:rPr>
                <w:rFonts w:ascii="Arial" w:hAnsi="Arial" w:cs="Arial"/>
                <w:szCs w:val="18"/>
              </w:rPr>
              <w:t>83</w:t>
            </w:r>
            <w:r w:rsidR="00873068">
              <w:rPr>
                <w:rFonts w:ascii="Arial" w:hAnsi="Arial" w:cs="Arial"/>
                <w:szCs w:val="18"/>
              </w:rPr>
              <w:t>%</w:t>
            </w:r>
          </w:p>
        </w:tc>
        <w:tc>
          <w:tcPr>
            <w:tcW w:w="708" w:type="dxa"/>
            <w:shd w:val="clear" w:color="000000" w:fill="FFFFFF"/>
            <w:vAlign w:val="center"/>
          </w:tcPr>
          <w:p w14:paraId="244C20DA" w14:textId="30FCD540" w:rsidR="00934B51" w:rsidRDefault="00934B51" w:rsidP="00934B5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79513A7" w14:textId="40EF0F6C" w:rsidR="00934B51" w:rsidRPr="00E6356A" w:rsidRDefault="00051653" w:rsidP="00934B51">
            <w:pPr>
              <w:jc w:val="center"/>
              <w:rPr>
                <w:rFonts w:ascii="Arial" w:hAnsi="Arial" w:cs="Arial"/>
                <w:b/>
                <w:szCs w:val="18"/>
              </w:rPr>
            </w:pPr>
            <w:r>
              <w:rPr>
                <w:rFonts w:ascii="Arial" w:hAnsi="Arial" w:cs="Arial"/>
                <w:b/>
                <w:szCs w:val="18"/>
              </w:rPr>
              <w:t>100%</w:t>
            </w:r>
          </w:p>
        </w:tc>
        <w:tc>
          <w:tcPr>
            <w:tcW w:w="1276" w:type="dxa"/>
            <w:gridSpan w:val="2"/>
            <w:shd w:val="clear" w:color="000000" w:fill="FFFFFF"/>
            <w:vAlign w:val="center"/>
          </w:tcPr>
          <w:p w14:paraId="4D1FB9F2" w14:textId="4132F392" w:rsidR="00934B51" w:rsidRPr="00E6356A" w:rsidRDefault="00051653" w:rsidP="00934B51">
            <w:pPr>
              <w:jc w:val="center"/>
              <w:rPr>
                <w:rFonts w:ascii="Arial" w:hAnsi="Arial" w:cs="Arial"/>
                <w:b/>
                <w:szCs w:val="18"/>
              </w:rPr>
            </w:pPr>
            <w:r>
              <w:rPr>
                <w:rFonts w:ascii="Arial" w:hAnsi="Arial" w:cs="Arial"/>
                <w:b/>
                <w:szCs w:val="18"/>
              </w:rPr>
              <w:t>12 / 12</w:t>
            </w:r>
          </w:p>
        </w:tc>
        <w:tc>
          <w:tcPr>
            <w:tcW w:w="8787" w:type="dxa"/>
            <w:shd w:val="clear" w:color="000000" w:fill="FFFFFF"/>
            <w:vAlign w:val="center"/>
          </w:tcPr>
          <w:p w14:paraId="552D4F4E" w14:textId="2ECF94C9" w:rsidR="00934B51" w:rsidRPr="00934B51" w:rsidRDefault="00873068" w:rsidP="00934B51">
            <w:pPr>
              <w:shd w:val="clear" w:color="auto" w:fill="FFFFFF" w:themeFill="background1"/>
              <w:jc w:val="both"/>
              <w:rPr>
                <w:rFonts w:ascii="Arial" w:hAnsi="Arial" w:cs="Arial"/>
                <w:szCs w:val="18"/>
              </w:rPr>
            </w:pPr>
            <w:r w:rsidRPr="00873068">
              <w:rPr>
                <w:rFonts w:ascii="Arial" w:hAnsi="Arial" w:cs="Arial"/>
                <w:szCs w:val="18"/>
              </w:rPr>
              <w:t>a) De acuerdo al Artículo 33, del Decreto Supremo N° 22 de 2015 del Ministerio de Desarrollo Social, la Calificación Socioeconómica (CSE), consiste en una ordenación de las unidades de análisis (hogares) que forman parte del Registro Social de Hogares (RSH), que podrá ser estratificada por quintiles, deciles, percentiles o tramos, en función de los ingresos de los integrantes de la unidad de análisis y otros atributos que sean necesarios. La CSE es actualizada o recalculada mensualmente de acuerdo a los procedimientos de actualización y rectificación de la información solicitados por los titulares (usuarios) del RSH y regulada por el mismo cuerpo legal.</w:t>
            </w:r>
          </w:p>
        </w:tc>
      </w:tr>
      <w:tr w:rsidR="00934B51" w:rsidRPr="00007E1F" w14:paraId="7A83E680" w14:textId="77777777" w:rsidTr="004812EF">
        <w:trPr>
          <w:cantSplit/>
          <w:trHeight w:val="1115"/>
          <w:jc w:val="center"/>
        </w:trPr>
        <w:tc>
          <w:tcPr>
            <w:tcW w:w="568" w:type="dxa"/>
            <w:shd w:val="clear" w:color="000000" w:fill="FFFFFF"/>
            <w:vAlign w:val="center"/>
          </w:tcPr>
          <w:p w14:paraId="0788937B" w14:textId="1213380C" w:rsidR="00934B51" w:rsidRDefault="00934B51" w:rsidP="00934B51">
            <w:pPr>
              <w:jc w:val="center"/>
              <w:rPr>
                <w:rFonts w:ascii="Arial" w:hAnsi="Arial" w:cs="Arial"/>
                <w:b/>
                <w:sz w:val="22"/>
                <w:szCs w:val="18"/>
              </w:rPr>
            </w:pPr>
            <w:r>
              <w:rPr>
                <w:rFonts w:ascii="Arial" w:hAnsi="Arial" w:cs="Arial"/>
                <w:b/>
                <w:sz w:val="22"/>
                <w:szCs w:val="18"/>
              </w:rPr>
              <w:lastRenderedPageBreak/>
              <w:t>9</w:t>
            </w:r>
          </w:p>
        </w:tc>
        <w:tc>
          <w:tcPr>
            <w:tcW w:w="1832" w:type="dxa"/>
            <w:shd w:val="clear" w:color="000000" w:fill="FFFFFF"/>
            <w:vAlign w:val="center"/>
          </w:tcPr>
          <w:p w14:paraId="1D8E9753" w14:textId="576E9573" w:rsidR="00934B51" w:rsidRPr="006C3B59" w:rsidRDefault="00934B51" w:rsidP="00934B51">
            <w:pPr>
              <w:shd w:val="clear" w:color="auto" w:fill="FFFFFF" w:themeFill="background1"/>
              <w:jc w:val="both"/>
              <w:rPr>
                <w:rFonts w:ascii="Arial" w:hAnsi="Arial" w:cs="Arial"/>
                <w:szCs w:val="18"/>
              </w:rPr>
            </w:pPr>
            <w:r w:rsidRPr="006C3B59">
              <w:rPr>
                <w:rFonts w:ascii="Arial" w:hAnsi="Arial" w:cs="Arial"/>
                <w:szCs w:val="18"/>
              </w:rPr>
              <w:t xml:space="preserve">Porcentaje de </w:t>
            </w:r>
            <w:r>
              <w:rPr>
                <w:rFonts w:ascii="Arial" w:hAnsi="Arial" w:cs="Arial"/>
                <w:szCs w:val="18"/>
              </w:rPr>
              <w:t>documentos de resultados de la Encuesta CASEN 2017 elaborados en el año t.</w:t>
            </w:r>
          </w:p>
        </w:tc>
        <w:tc>
          <w:tcPr>
            <w:tcW w:w="1984" w:type="dxa"/>
            <w:shd w:val="clear" w:color="000000" w:fill="FFFFFF"/>
            <w:vAlign w:val="center"/>
          </w:tcPr>
          <w:p w14:paraId="02500321" w14:textId="606BC3EC" w:rsidR="00934B51" w:rsidRPr="006C3B59" w:rsidRDefault="00934B51" w:rsidP="00934B51">
            <w:pPr>
              <w:shd w:val="clear" w:color="auto" w:fill="FFFFFF" w:themeFill="background1"/>
              <w:jc w:val="both"/>
              <w:rPr>
                <w:rFonts w:ascii="Arial" w:hAnsi="Arial" w:cs="Arial"/>
                <w:szCs w:val="18"/>
              </w:rPr>
            </w:pPr>
            <w:r w:rsidRPr="006C3B59">
              <w:rPr>
                <w:rFonts w:ascii="Arial" w:hAnsi="Arial" w:cs="Arial"/>
                <w:szCs w:val="18"/>
              </w:rPr>
              <w:t>(N°</w:t>
            </w:r>
            <w:r>
              <w:rPr>
                <w:rFonts w:ascii="Arial" w:hAnsi="Arial" w:cs="Arial"/>
                <w:szCs w:val="18"/>
              </w:rPr>
              <w:t xml:space="preserve"> de documentos de resultados de la Encuesta CASEN 2017 elaborados en el</w:t>
            </w:r>
            <w:r w:rsidRPr="006C3B59">
              <w:rPr>
                <w:rFonts w:ascii="Arial" w:hAnsi="Arial" w:cs="Arial"/>
                <w:szCs w:val="18"/>
              </w:rPr>
              <w:t xml:space="preserve"> año t / N° total de</w:t>
            </w:r>
            <w:r>
              <w:rPr>
                <w:rFonts w:ascii="Arial" w:hAnsi="Arial" w:cs="Arial"/>
                <w:szCs w:val="18"/>
              </w:rPr>
              <w:t xml:space="preserve"> documentos de resultados de la Encuesta CASEN 2015 programados para el año t</w:t>
            </w:r>
            <w:r w:rsidRPr="006C3B59">
              <w:rPr>
                <w:rFonts w:ascii="Arial" w:hAnsi="Arial" w:cs="Arial"/>
                <w:szCs w:val="18"/>
              </w:rPr>
              <w:t>)</w:t>
            </w:r>
            <w:r>
              <w:rPr>
                <w:rFonts w:ascii="Arial" w:hAnsi="Arial" w:cs="Arial"/>
                <w:szCs w:val="18"/>
              </w:rPr>
              <w:t xml:space="preserve"> </w:t>
            </w:r>
            <w:r w:rsidRPr="006C3B59">
              <w:rPr>
                <w:rFonts w:ascii="Arial" w:hAnsi="Arial" w:cs="Arial"/>
                <w:szCs w:val="18"/>
              </w:rPr>
              <w:t>*100</w:t>
            </w:r>
          </w:p>
        </w:tc>
        <w:tc>
          <w:tcPr>
            <w:tcW w:w="1276" w:type="dxa"/>
            <w:shd w:val="clear" w:color="000000" w:fill="FFFFFF"/>
            <w:vAlign w:val="center"/>
          </w:tcPr>
          <w:p w14:paraId="5294B066" w14:textId="2E2AB33D" w:rsidR="00934B51" w:rsidRPr="007D007C" w:rsidRDefault="00934B51" w:rsidP="00934B51">
            <w:pPr>
              <w:jc w:val="center"/>
              <w:rPr>
                <w:rFonts w:ascii="Arial" w:hAnsi="Arial" w:cs="Arial"/>
                <w:color w:val="000000"/>
                <w:szCs w:val="16"/>
              </w:rPr>
            </w:pPr>
            <w:r>
              <w:rPr>
                <w:rFonts w:ascii="Arial" w:hAnsi="Arial" w:cs="Arial"/>
                <w:color w:val="000000"/>
                <w:szCs w:val="16"/>
              </w:rPr>
              <w:t>3 / 4</w:t>
            </w:r>
          </w:p>
        </w:tc>
        <w:tc>
          <w:tcPr>
            <w:tcW w:w="851" w:type="dxa"/>
            <w:shd w:val="clear" w:color="auto" w:fill="FFFFFF"/>
            <w:vAlign w:val="center"/>
          </w:tcPr>
          <w:p w14:paraId="2D4027BA" w14:textId="3D683E64" w:rsidR="00934B51" w:rsidRPr="007D007C" w:rsidRDefault="00934B51" w:rsidP="00934B51">
            <w:pPr>
              <w:jc w:val="center"/>
              <w:rPr>
                <w:rFonts w:ascii="Arial" w:hAnsi="Arial" w:cs="Arial"/>
                <w:szCs w:val="18"/>
              </w:rPr>
            </w:pPr>
            <w:r>
              <w:rPr>
                <w:rFonts w:ascii="Arial" w:hAnsi="Arial" w:cs="Arial"/>
                <w:szCs w:val="18"/>
              </w:rPr>
              <w:t>75%</w:t>
            </w:r>
          </w:p>
        </w:tc>
        <w:tc>
          <w:tcPr>
            <w:tcW w:w="708" w:type="dxa"/>
            <w:shd w:val="clear" w:color="000000" w:fill="FFFFFF"/>
            <w:vAlign w:val="center"/>
          </w:tcPr>
          <w:p w14:paraId="1140DFEB" w14:textId="77777777" w:rsidR="00934B51" w:rsidRPr="007D007C" w:rsidRDefault="00934B51" w:rsidP="00934B5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0DAE995" w14:textId="432DE25E" w:rsidR="00934B51" w:rsidRPr="00E6356A" w:rsidRDefault="0057273B" w:rsidP="00934B51">
            <w:pPr>
              <w:jc w:val="center"/>
              <w:rPr>
                <w:rFonts w:ascii="Arial" w:hAnsi="Arial" w:cs="Arial"/>
                <w:b/>
                <w:szCs w:val="18"/>
              </w:rPr>
            </w:pPr>
            <w:r>
              <w:rPr>
                <w:rFonts w:ascii="Arial" w:hAnsi="Arial" w:cs="Arial"/>
                <w:b/>
                <w:szCs w:val="18"/>
              </w:rPr>
              <w:t>75</w:t>
            </w:r>
            <w:r w:rsidR="00934B51" w:rsidRPr="00E6356A">
              <w:rPr>
                <w:rFonts w:ascii="Arial" w:hAnsi="Arial" w:cs="Arial"/>
                <w:b/>
                <w:szCs w:val="18"/>
              </w:rPr>
              <w:t>%</w:t>
            </w:r>
          </w:p>
        </w:tc>
        <w:tc>
          <w:tcPr>
            <w:tcW w:w="1276" w:type="dxa"/>
            <w:gridSpan w:val="2"/>
            <w:shd w:val="clear" w:color="000000" w:fill="FFFFFF"/>
            <w:vAlign w:val="center"/>
          </w:tcPr>
          <w:p w14:paraId="693F96E0" w14:textId="64DC4CB5" w:rsidR="00934B51" w:rsidRPr="00E6356A" w:rsidRDefault="0057273B" w:rsidP="00934B51">
            <w:pPr>
              <w:jc w:val="center"/>
              <w:rPr>
                <w:rFonts w:ascii="Arial" w:hAnsi="Arial" w:cs="Arial"/>
                <w:b/>
                <w:szCs w:val="18"/>
              </w:rPr>
            </w:pPr>
            <w:r>
              <w:rPr>
                <w:rFonts w:ascii="Arial" w:hAnsi="Arial" w:cs="Arial"/>
                <w:b/>
                <w:szCs w:val="18"/>
              </w:rPr>
              <w:t>3</w:t>
            </w:r>
            <w:r w:rsidR="00934B51" w:rsidRPr="00E6356A">
              <w:rPr>
                <w:rFonts w:ascii="Arial" w:hAnsi="Arial" w:cs="Arial"/>
                <w:b/>
                <w:szCs w:val="18"/>
              </w:rPr>
              <w:t xml:space="preserve"> / </w:t>
            </w:r>
            <w:r>
              <w:rPr>
                <w:rFonts w:ascii="Arial" w:hAnsi="Arial" w:cs="Arial"/>
                <w:b/>
                <w:szCs w:val="18"/>
              </w:rPr>
              <w:t>4</w:t>
            </w:r>
          </w:p>
        </w:tc>
        <w:tc>
          <w:tcPr>
            <w:tcW w:w="8787" w:type="dxa"/>
            <w:shd w:val="clear" w:color="000000" w:fill="FFFFFF"/>
            <w:vAlign w:val="center"/>
          </w:tcPr>
          <w:p w14:paraId="704AA409" w14:textId="5BF642F3" w:rsidR="00934B51" w:rsidRPr="00934B51" w:rsidRDefault="00934B51" w:rsidP="00934B51">
            <w:pPr>
              <w:shd w:val="clear" w:color="auto" w:fill="FFFFFF" w:themeFill="background1"/>
              <w:jc w:val="both"/>
              <w:rPr>
                <w:rFonts w:ascii="Arial" w:hAnsi="Arial" w:cs="Arial"/>
                <w:szCs w:val="18"/>
              </w:rPr>
            </w:pPr>
            <w:r w:rsidRPr="00934B51">
              <w:rPr>
                <w:rFonts w:ascii="Arial" w:hAnsi="Arial" w:cs="Arial"/>
                <w:szCs w:val="18"/>
              </w:rPr>
              <w:t>a) La elaboración de los documentos metodológicos CASEN 2017, se realiza a partir de los productos comprometidos en el proceso de licitación del Levantamiento CASEN 2017 y los referidos al Convenio del INE para el diseño muestral de la Encuesta 2017, los que requieren ser aprobados por la jefatura de la División Observatorio Social o la contraparte técnica ministerial.</w:t>
            </w:r>
          </w:p>
        </w:tc>
      </w:tr>
      <w:tr w:rsidR="00873068" w:rsidRPr="00007E1F" w14:paraId="177CF456" w14:textId="77777777" w:rsidTr="004812EF">
        <w:trPr>
          <w:cantSplit/>
          <w:trHeight w:val="1115"/>
          <w:jc w:val="center"/>
        </w:trPr>
        <w:tc>
          <w:tcPr>
            <w:tcW w:w="568" w:type="dxa"/>
            <w:shd w:val="clear" w:color="000000" w:fill="FFFFFF"/>
            <w:vAlign w:val="center"/>
          </w:tcPr>
          <w:p w14:paraId="312EB8CF" w14:textId="6BAD3E39" w:rsidR="00873068" w:rsidRDefault="00873068" w:rsidP="00873068">
            <w:pPr>
              <w:jc w:val="center"/>
              <w:rPr>
                <w:rFonts w:ascii="Arial" w:hAnsi="Arial" w:cs="Arial"/>
                <w:b/>
                <w:sz w:val="22"/>
                <w:szCs w:val="18"/>
              </w:rPr>
            </w:pPr>
            <w:r>
              <w:rPr>
                <w:rFonts w:ascii="Arial" w:hAnsi="Arial" w:cs="Arial"/>
                <w:b/>
                <w:sz w:val="22"/>
                <w:szCs w:val="18"/>
              </w:rPr>
              <w:t>10</w:t>
            </w:r>
          </w:p>
        </w:tc>
        <w:tc>
          <w:tcPr>
            <w:tcW w:w="1832" w:type="dxa"/>
            <w:shd w:val="clear" w:color="000000" w:fill="FFFFFF"/>
            <w:vAlign w:val="center"/>
          </w:tcPr>
          <w:p w14:paraId="68749DDC" w14:textId="45E1A361" w:rsidR="00873068" w:rsidRPr="006C3B59" w:rsidRDefault="00873068" w:rsidP="00873068">
            <w:pPr>
              <w:shd w:val="clear" w:color="auto" w:fill="FFFFFF" w:themeFill="background1"/>
              <w:jc w:val="both"/>
              <w:rPr>
                <w:rFonts w:ascii="Arial" w:hAnsi="Arial" w:cs="Arial"/>
                <w:szCs w:val="18"/>
              </w:rPr>
            </w:pPr>
            <w:r>
              <w:rPr>
                <w:rFonts w:ascii="Arial" w:hAnsi="Arial" w:cs="Arial"/>
                <w:szCs w:val="18"/>
              </w:rPr>
              <w:t>Porcentaje de indicadores predefinidos incorporados al Sistema Integrado de Información Social con desagregación Territorial (SIIS-T) al año t, respecto del total de indicadores predefinidos, definidos por la autoridad al año t.</w:t>
            </w:r>
          </w:p>
        </w:tc>
        <w:tc>
          <w:tcPr>
            <w:tcW w:w="1984" w:type="dxa"/>
            <w:shd w:val="clear" w:color="000000" w:fill="FFFFFF"/>
            <w:vAlign w:val="center"/>
          </w:tcPr>
          <w:p w14:paraId="5CD8F7C2" w14:textId="7C459368" w:rsidR="00873068" w:rsidRPr="006C3B59" w:rsidRDefault="00873068" w:rsidP="00873068">
            <w:pPr>
              <w:shd w:val="clear" w:color="auto" w:fill="FFFFFF" w:themeFill="background1"/>
              <w:jc w:val="both"/>
              <w:rPr>
                <w:rFonts w:ascii="Arial" w:hAnsi="Arial" w:cs="Arial"/>
                <w:szCs w:val="18"/>
              </w:rPr>
            </w:pPr>
            <w:r>
              <w:rPr>
                <w:rFonts w:ascii="Arial" w:hAnsi="Arial" w:cs="Arial"/>
                <w:szCs w:val="18"/>
              </w:rPr>
              <w:t>(N° de indicadores predefinidos incorporados al Sistema Integrado de Información Social con desagregación Territorial (SIIS-T), al año t / N° total de indicadores predefinidos, definidos por la autoridad al año t) * 100</w:t>
            </w:r>
          </w:p>
        </w:tc>
        <w:tc>
          <w:tcPr>
            <w:tcW w:w="1276" w:type="dxa"/>
            <w:shd w:val="clear" w:color="000000" w:fill="FFFFFF"/>
            <w:vAlign w:val="center"/>
          </w:tcPr>
          <w:p w14:paraId="0AA5AA77" w14:textId="3ADE9861" w:rsidR="00873068" w:rsidRDefault="00873068" w:rsidP="00873068">
            <w:pPr>
              <w:jc w:val="center"/>
              <w:rPr>
                <w:rFonts w:ascii="Arial" w:hAnsi="Arial" w:cs="Arial"/>
                <w:color w:val="000000"/>
                <w:szCs w:val="16"/>
              </w:rPr>
            </w:pPr>
            <w:r>
              <w:rPr>
                <w:rFonts w:ascii="Arial" w:hAnsi="Arial" w:cs="Arial"/>
                <w:color w:val="000000"/>
                <w:szCs w:val="16"/>
              </w:rPr>
              <w:t>10</w:t>
            </w:r>
            <w:r>
              <w:rPr>
                <w:rFonts w:ascii="Arial" w:hAnsi="Arial" w:cs="Arial"/>
                <w:color w:val="000000"/>
                <w:szCs w:val="16"/>
              </w:rPr>
              <w:t xml:space="preserve"> / </w:t>
            </w:r>
            <w:r>
              <w:rPr>
                <w:rFonts w:ascii="Arial" w:hAnsi="Arial" w:cs="Arial"/>
                <w:color w:val="000000"/>
                <w:szCs w:val="16"/>
              </w:rPr>
              <w:t>23</w:t>
            </w:r>
          </w:p>
        </w:tc>
        <w:tc>
          <w:tcPr>
            <w:tcW w:w="851" w:type="dxa"/>
            <w:shd w:val="clear" w:color="auto" w:fill="FFFFFF"/>
            <w:vAlign w:val="center"/>
          </w:tcPr>
          <w:p w14:paraId="10895AAB" w14:textId="7800817C" w:rsidR="00873068" w:rsidRDefault="00873068" w:rsidP="00873068">
            <w:pPr>
              <w:jc w:val="center"/>
              <w:rPr>
                <w:rFonts w:ascii="Arial" w:hAnsi="Arial" w:cs="Arial"/>
                <w:szCs w:val="18"/>
              </w:rPr>
            </w:pPr>
            <w:r>
              <w:rPr>
                <w:rFonts w:ascii="Arial" w:hAnsi="Arial" w:cs="Arial"/>
                <w:szCs w:val="18"/>
              </w:rPr>
              <w:t>4</w:t>
            </w:r>
            <w:r>
              <w:rPr>
                <w:rFonts w:ascii="Arial" w:hAnsi="Arial" w:cs="Arial"/>
                <w:szCs w:val="18"/>
              </w:rPr>
              <w:t>3</w:t>
            </w:r>
            <w:r>
              <w:rPr>
                <w:rFonts w:ascii="Arial" w:hAnsi="Arial" w:cs="Arial"/>
                <w:szCs w:val="18"/>
              </w:rPr>
              <w:t>%</w:t>
            </w:r>
          </w:p>
        </w:tc>
        <w:tc>
          <w:tcPr>
            <w:tcW w:w="708" w:type="dxa"/>
            <w:shd w:val="clear" w:color="000000" w:fill="FFFFFF"/>
            <w:vAlign w:val="center"/>
          </w:tcPr>
          <w:p w14:paraId="006817E2" w14:textId="6CDFDBD0" w:rsidR="00873068" w:rsidRDefault="00873068" w:rsidP="00873068">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468F0B3" w14:textId="754A8D56" w:rsidR="00873068" w:rsidRPr="00E6356A" w:rsidRDefault="00873068" w:rsidP="00873068">
            <w:pPr>
              <w:jc w:val="center"/>
              <w:rPr>
                <w:rFonts w:ascii="Arial" w:hAnsi="Arial" w:cs="Arial"/>
                <w:b/>
                <w:szCs w:val="18"/>
              </w:rPr>
            </w:pPr>
            <w:r>
              <w:rPr>
                <w:rFonts w:ascii="Arial" w:hAnsi="Arial" w:cs="Arial"/>
                <w:b/>
                <w:szCs w:val="18"/>
              </w:rPr>
              <w:t>4</w:t>
            </w:r>
            <w:r w:rsidR="0057273B">
              <w:rPr>
                <w:rFonts w:ascii="Arial" w:hAnsi="Arial" w:cs="Arial"/>
                <w:b/>
                <w:szCs w:val="18"/>
              </w:rPr>
              <w:t>8</w:t>
            </w:r>
            <w:r>
              <w:rPr>
                <w:rFonts w:ascii="Arial" w:hAnsi="Arial" w:cs="Arial"/>
                <w:b/>
                <w:szCs w:val="18"/>
              </w:rPr>
              <w:t>%</w:t>
            </w:r>
          </w:p>
        </w:tc>
        <w:tc>
          <w:tcPr>
            <w:tcW w:w="1276" w:type="dxa"/>
            <w:gridSpan w:val="2"/>
            <w:shd w:val="clear" w:color="000000" w:fill="FFFFFF"/>
            <w:vAlign w:val="center"/>
          </w:tcPr>
          <w:p w14:paraId="38E6D454" w14:textId="1C10F97C" w:rsidR="00873068" w:rsidRPr="00E6356A" w:rsidRDefault="0057273B" w:rsidP="00873068">
            <w:pPr>
              <w:jc w:val="center"/>
              <w:rPr>
                <w:rFonts w:ascii="Arial" w:hAnsi="Arial" w:cs="Arial"/>
                <w:b/>
                <w:szCs w:val="18"/>
              </w:rPr>
            </w:pPr>
            <w:r>
              <w:rPr>
                <w:rFonts w:ascii="Arial" w:hAnsi="Arial" w:cs="Arial"/>
                <w:b/>
                <w:szCs w:val="18"/>
              </w:rPr>
              <w:t>11</w:t>
            </w:r>
            <w:r w:rsidR="00873068">
              <w:rPr>
                <w:rFonts w:ascii="Arial" w:hAnsi="Arial" w:cs="Arial"/>
                <w:b/>
                <w:szCs w:val="18"/>
              </w:rPr>
              <w:t xml:space="preserve"> / </w:t>
            </w:r>
            <w:r>
              <w:rPr>
                <w:rFonts w:ascii="Arial" w:hAnsi="Arial" w:cs="Arial"/>
                <w:b/>
                <w:szCs w:val="18"/>
              </w:rPr>
              <w:t>23</w:t>
            </w:r>
          </w:p>
        </w:tc>
        <w:tc>
          <w:tcPr>
            <w:tcW w:w="8787" w:type="dxa"/>
            <w:shd w:val="clear" w:color="000000" w:fill="FFFFFF"/>
            <w:vAlign w:val="center"/>
          </w:tcPr>
          <w:p w14:paraId="14A03DB2" w14:textId="77777777" w:rsidR="00873068" w:rsidRPr="0057273B" w:rsidRDefault="00873068" w:rsidP="00873068">
            <w:pPr>
              <w:shd w:val="clear" w:color="auto" w:fill="FFFFFF" w:themeFill="background1"/>
              <w:jc w:val="both"/>
              <w:rPr>
                <w:rFonts w:ascii="Arial" w:hAnsi="Arial" w:cs="Arial"/>
                <w:szCs w:val="18"/>
              </w:rPr>
            </w:pPr>
            <w:r w:rsidRPr="0057273B">
              <w:rPr>
                <w:rFonts w:ascii="Arial" w:hAnsi="Arial" w:cs="Arial"/>
                <w:szCs w:val="18"/>
              </w:rPr>
              <w:t>a) El Sistema Integrado de Información Social con desagregación Territorial (SIIS-T) es una plataforma de almacenamiento, gestión, procesamiento y entrega de información social desagregada a nivel territorial.</w:t>
            </w:r>
          </w:p>
          <w:p w14:paraId="626B8BB0" w14:textId="77777777" w:rsidR="00873068" w:rsidRPr="0057273B" w:rsidRDefault="00873068" w:rsidP="00873068">
            <w:pPr>
              <w:shd w:val="clear" w:color="auto" w:fill="FFFFFF" w:themeFill="background1"/>
              <w:jc w:val="both"/>
              <w:rPr>
                <w:rFonts w:ascii="Arial" w:hAnsi="Arial" w:cs="Arial"/>
                <w:szCs w:val="18"/>
              </w:rPr>
            </w:pPr>
            <w:r w:rsidRPr="0057273B">
              <w:rPr>
                <w:rFonts w:ascii="Arial" w:hAnsi="Arial" w:cs="Arial"/>
                <w:szCs w:val="18"/>
              </w:rPr>
              <w:t>b) Entre otras funcionalidades, el sistema permite visualizar indicadores predefinidos que entregan información social relevante sobre distintas temáticas, tales como: educación, trabajo u ocupación, pobreza y vulnerabilidad, entre otras. Estos indicadores están desplegados en la plataforma en el denominado Catálogo de Indicadores, que contiene un listado que se actualiza periódicamente. La fecha de publicación corresponde a la fecha en que un indicador ha sido incorporado en el Sistema y puede ser visualizado por los usuarios.</w:t>
            </w:r>
          </w:p>
          <w:p w14:paraId="52DAB75A" w14:textId="77777777" w:rsidR="00873068" w:rsidRPr="0057273B" w:rsidRDefault="00873068" w:rsidP="00873068">
            <w:pPr>
              <w:shd w:val="clear" w:color="auto" w:fill="FFFFFF" w:themeFill="background1"/>
              <w:jc w:val="both"/>
              <w:rPr>
                <w:rFonts w:ascii="Arial" w:hAnsi="Arial" w:cs="Arial"/>
                <w:szCs w:val="18"/>
              </w:rPr>
            </w:pPr>
            <w:r w:rsidRPr="0057273B">
              <w:rPr>
                <w:rFonts w:ascii="Arial" w:hAnsi="Arial" w:cs="Arial"/>
                <w:szCs w:val="18"/>
              </w:rPr>
              <w:t>c) Los niveles de desagregación territorial pueden coincidir con las divisiones político administrativas del territorio nacional, o bien ser definidas por los usuarios del Sistema.</w:t>
            </w:r>
          </w:p>
          <w:p w14:paraId="4F2D4A01" w14:textId="2BB8DE6C" w:rsidR="00873068" w:rsidRPr="00DA5BD1" w:rsidRDefault="00873068" w:rsidP="00873068">
            <w:pPr>
              <w:shd w:val="clear" w:color="auto" w:fill="FFFFFF" w:themeFill="background1"/>
              <w:jc w:val="both"/>
              <w:rPr>
                <w:rFonts w:ascii="Arial" w:hAnsi="Arial" w:cs="Arial"/>
                <w:bCs/>
                <w:szCs w:val="18"/>
              </w:rPr>
            </w:pPr>
            <w:r w:rsidRPr="0057273B">
              <w:rPr>
                <w:rFonts w:ascii="Arial" w:hAnsi="Arial" w:cs="Arial"/>
                <w:szCs w:val="18"/>
              </w:rPr>
              <w:t>d) Los indicadores predefinidos serán definidos por la autoridad durante el primer trimestre del año t; y pueden</w:t>
            </w:r>
            <w:r>
              <w:rPr>
                <w:rFonts w:ascii="Arial" w:hAnsi="Arial" w:cs="Arial"/>
                <w:bCs/>
                <w:szCs w:val="18"/>
              </w:rPr>
              <w:t xml:space="preserve"> referirse a cualquiera de las temáticas sociales que el Sistema permite visualizar.</w:t>
            </w:r>
          </w:p>
        </w:tc>
      </w:tr>
    </w:tbl>
    <w:p w14:paraId="15FE8A19" w14:textId="77777777" w:rsidR="001426FF" w:rsidRDefault="001426FF"/>
    <w:p w14:paraId="610490CF" w14:textId="77777777" w:rsidR="00CB7B82" w:rsidRDefault="00CB7B82"/>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832"/>
        <w:gridCol w:w="1984"/>
        <w:gridCol w:w="1276"/>
        <w:gridCol w:w="851"/>
        <w:gridCol w:w="708"/>
        <w:gridCol w:w="1134"/>
        <w:gridCol w:w="855"/>
        <w:gridCol w:w="279"/>
        <w:gridCol w:w="8929"/>
      </w:tblGrid>
      <w:tr w:rsidR="009D1E41" w:rsidRPr="00013B88" w14:paraId="50493041" w14:textId="77777777" w:rsidTr="009D1E41">
        <w:trPr>
          <w:trHeight w:val="737"/>
          <w:tblHeader/>
          <w:jc w:val="center"/>
        </w:trPr>
        <w:tc>
          <w:tcPr>
            <w:tcW w:w="9208" w:type="dxa"/>
            <w:gridSpan w:val="8"/>
            <w:shd w:val="clear" w:color="auto" w:fill="1F497D" w:themeFill="text2"/>
            <w:vAlign w:val="center"/>
            <w:hideMark/>
          </w:tcPr>
          <w:p w14:paraId="07344A17" w14:textId="77777777" w:rsidR="009D1E41" w:rsidRPr="00236F5A" w:rsidRDefault="00A3330C" w:rsidP="009D1E41">
            <w:pPr>
              <w:jc w:val="center"/>
              <w:rPr>
                <w:rFonts w:cs="Calibri"/>
                <w:b/>
                <w:bCs/>
                <w:color w:val="FFFFFF"/>
                <w:sz w:val="22"/>
                <w:szCs w:val="14"/>
                <w:lang w:val="es-CL" w:eastAsia="es-CL"/>
              </w:rPr>
            </w:pPr>
            <w:r>
              <w:lastRenderedPageBreak/>
              <w:br w:type="page"/>
            </w:r>
            <w:r w:rsidR="009D1E41">
              <w:rPr>
                <w:rFonts w:cs="Arial"/>
                <w:b/>
                <w:color w:val="FFFFFF" w:themeColor="background1"/>
                <w:sz w:val="26"/>
                <w:szCs w:val="26"/>
              </w:rPr>
              <w:t>OBJETIVO DE GESTIÓN 2</w:t>
            </w:r>
          </w:p>
        </w:tc>
        <w:tc>
          <w:tcPr>
            <w:tcW w:w="9208" w:type="dxa"/>
            <w:gridSpan w:val="2"/>
            <w:shd w:val="clear" w:color="auto" w:fill="1F497D" w:themeFill="text2"/>
            <w:vAlign w:val="center"/>
          </w:tcPr>
          <w:p w14:paraId="7C0B159D" w14:textId="2CCDCE85" w:rsidR="009D1E41" w:rsidRPr="008F195E" w:rsidRDefault="009D1E41" w:rsidP="009D1E41">
            <w:pPr>
              <w:rPr>
                <w:rFonts w:cs="Calibri"/>
                <w:b/>
                <w:bCs/>
                <w:color w:val="FFFFFF" w:themeColor="background1"/>
                <w:sz w:val="22"/>
                <w:szCs w:val="14"/>
                <w:lang w:val="es-CL" w:eastAsia="es-CL"/>
              </w:rPr>
            </w:pPr>
            <w:r>
              <w:rPr>
                <w:rFonts w:cs="Calibri"/>
                <w:b/>
                <w:bCs/>
                <w:color w:val="FFFFFF" w:themeColor="background1"/>
                <w:sz w:val="22"/>
                <w:szCs w:val="14"/>
                <w:lang w:val="es-CL" w:eastAsia="es-CL"/>
              </w:rPr>
              <w:t xml:space="preserve">Medir e informar correctamente a las respectivas redes de expertos y DIPRES, los datos efectivos al 31 de diciembre de </w:t>
            </w:r>
            <w:r w:rsidR="00BD3F2F">
              <w:rPr>
                <w:rFonts w:cs="Calibri"/>
                <w:b/>
                <w:bCs/>
                <w:color w:val="FFFFFF" w:themeColor="background1"/>
                <w:sz w:val="22"/>
                <w:szCs w:val="14"/>
                <w:lang w:val="es-CL" w:eastAsia="es-CL"/>
              </w:rPr>
              <w:t>2018</w:t>
            </w:r>
            <w:r>
              <w:rPr>
                <w:rFonts w:cs="Calibri"/>
                <w:b/>
                <w:bCs/>
                <w:color w:val="FFFFFF" w:themeColor="background1"/>
                <w:sz w:val="22"/>
                <w:szCs w:val="14"/>
                <w:lang w:val="es-CL" w:eastAsia="es-CL"/>
              </w:rPr>
              <w:t xml:space="preserve"> de los Indicadores Transversales definidos en el Programa Marco. </w:t>
            </w:r>
          </w:p>
        </w:tc>
      </w:tr>
      <w:tr w:rsidR="009D1E41" w:rsidRPr="00013B88" w14:paraId="603F1A67" w14:textId="77777777" w:rsidTr="00FF1EE9">
        <w:trPr>
          <w:trHeight w:val="737"/>
          <w:tblHeader/>
          <w:jc w:val="center"/>
        </w:trPr>
        <w:tc>
          <w:tcPr>
            <w:tcW w:w="568" w:type="dxa"/>
            <w:shd w:val="clear" w:color="auto" w:fill="1F497D" w:themeFill="text2"/>
            <w:vAlign w:val="center"/>
            <w:hideMark/>
          </w:tcPr>
          <w:p w14:paraId="22CD1025" w14:textId="77777777" w:rsidR="009D1E41" w:rsidRPr="0018468A" w:rsidRDefault="009D1E41" w:rsidP="009D1E41">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2" w:type="dxa"/>
            <w:shd w:val="clear" w:color="auto" w:fill="1F497D" w:themeFill="text2"/>
            <w:vAlign w:val="center"/>
            <w:hideMark/>
          </w:tcPr>
          <w:p w14:paraId="2FF12FD0" w14:textId="77777777" w:rsidR="009D1E41" w:rsidRPr="00140AE3" w:rsidRDefault="009D1E41" w:rsidP="009D1E41">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1984" w:type="dxa"/>
            <w:shd w:val="clear" w:color="auto" w:fill="1F497D" w:themeFill="text2"/>
            <w:vAlign w:val="center"/>
            <w:hideMark/>
          </w:tcPr>
          <w:p w14:paraId="52C40645" w14:textId="77777777" w:rsidR="009D1E41" w:rsidRPr="00140AE3" w:rsidRDefault="009D1E41" w:rsidP="009D1E41">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276" w:type="dxa"/>
            <w:shd w:val="clear" w:color="auto" w:fill="1F497D" w:themeFill="text2"/>
            <w:vAlign w:val="center"/>
            <w:hideMark/>
          </w:tcPr>
          <w:p w14:paraId="45315863" w14:textId="238C1F63" w:rsidR="009D1E41" w:rsidRPr="001C66BD" w:rsidRDefault="009D1E41" w:rsidP="00CF2E8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BD3F2F">
              <w:rPr>
                <w:rFonts w:cs="Calibri"/>
                <w:b/>
                <w:bCs/>
                <w:color w:val="FFFFFF"/>
                <w:sz w:val="18"/>
                <w:szCs w:val="14"/>
                <w:lang w:val="es-CL" w:eastAsia="es-CL"/>
              </w:rPr>
              <w:t>2018</w:t>
            </w:r>
          </w:p>
        </w:tc>
        <w:tc>
          <w:tcPr>
            <w:tcW w:w="851" w:type="dxa"/>
            <w:tcBorders>
              <w:bottom w:val="single" w:sz="4" w:space="0" w:color="0000FF"/>
            </w:tcBorders>
            <w:shd w:val="clear" w:color="auto" w:fill="1F497D" w:themeFill="text2"/>
            <w:vAlign w:val="center"/>
            <w:hideMark/>
          </w:tcPr>
          <w:p w14:paraId="1118A735" w14:textId="77777777" w:rsidR="009D1E41" w:rsidRPr="00140AE3" w:rsidRDefault="009D1E41" w:rsidP="009D1E41">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79D35C8A" w14:textId="0AE833DC" w:rsidR="009D1E41" w:rsidRPr="001C66BD" w:rsidRDefault="00BD3F2F" w:rsidP="009D1E41">
            <w:pPr>
              <w:jc w:val="center"/>
              <w:rPr>
                <w:rFonts w:cs="Calibri"/>
                <w:b/>
                <w:bCs/>
                <w:color w:val="FFFFFF"/>
                <w:sz w:val="18"/>
                <w:szCs w:val="14"/>
                <w:lang w:val="es-CL" w:eastAsia="es-CL"/>
              </w:rPr>
            </w:pPr>
            <w:r>
              <w:rPr>
                <w:rFonts w:cs="Calibri"/>
                <w:b/>
                <w:bCs/>
                <w:color w:val="FFFFFF"/>
                <w:sz w:val="22"/>
                <w:szCs w:val="14"/>
                <w:lang w:val="es-CL" w:eastAsia="es-CL"/>
              </w:rPr>
              <w:t>2018</w:t>
            </w:r>
          </w:p>
        </w:tc>
        <w:tc>
          <w:tcPr>
            <w:tcW w:w="708" w:type="dxa"/>
            <w:shd w:val="clear" w:color="auto" w:fill="1F497D" w:themeFill="text2"/>
            <w:vAlign w:val="center"/>
          </w:tcPr>
          <w:p w14:paraId="3C92147E" w14:textId="77777777" w:rsidR="009D1E41" w:rsidRPr="001C66BD" w:rsidRDefault="009D1E41" w:rsidP="009D1E41">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1F497D" w:themeFill="text2"/>
            <w:vAlign w:val="center"/>
            <w:hideMark/>
          </w:tcPr>
          <w:p w14:paraId="4B28F113" w14:textId="4D4B81E2" w:rsidR="009D1E41" w:rsidRPr="001C66BD" w:rsidRDefault="009D1E41" w:rsidP="009D1E41">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BD3F2F">
              <w:rPr>
                <w:rFonts w:cs="Calibri"/>
                <w:b/>
                <w:bCs/>
                <w:color w:val="FFFFFF"/>
                <w:sz w:val="22"/>
                <w:szCs w:val="14"/>
                <w:lang w:val="es-CL" w:eastAsia="es-CL"/>
              </w:rPr>
              <w:t>2018</w:t>
            </w:r>
          </w:p>
        </w:tc>
        <w:tc>
          <w:tcPr>
            <w:tcW w:w="1134" w:type="dxa"/>
            <w:gridSpan w:val="2"/>
            <w:shd w:val="clear" w:color="auto" w:fill="1F497D" w:themeFill="text2"/>
            <w:vAlign w:val="center"/>
          </w:tcPr>
          <w:p w14:paraId="7CB554CB" w14:textId="15B0CC0E" w:rsidR="009D1E41" w:rsidRPr="00236F5A" w:rsidRDefault="009D1E41" w:rsidP="009D1E41">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BD3F2F">
              <w:rPr>
                <w:rFonts w:cs="Calibri"/>
                <w:b/>
                <w:bCs/>
                <w:color w:val="FFFFFF"/>
                <w:sz w:val="22"/>
                <w:szCs w:val="14"/>
                <w:lang w:val="es-CL" w:eastAsia="es-CL"/>
              </w:rPr>
              <w:t>2018</w:t>
            </w:r>
          </w:p>
        </w:tc>
        <w:tc>
          <w:tcPr>
            <w:tcW w:w="8929" w:type="dxa"/>
            <w:shd w:val="clear" w:color="auto" w:fill="1F497D" w:themeFill="text2"/>
            <w:vAlign w:val="center"/>
            <w:hideMark/>
          </w:tcPr>
          <w:p w14:paraId="5382E95B" w14:textId="77777777" w:rsidR="009D1E41" w:rsidRPr="001C66BD" w:rsidRDefault="009D1E41" w:rsidP="009D1E41">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9D1E41" w:rsidRPr="00007E1F" w14:paraId="0A31DAE0" w14:textId="77777777" w:rsidTr="00FF1EE9">
        <w:trPr>
          <w:cantSplit/>
          <w:trHeight w:val="1731"/>
          <w:jc w:val="center"/>
        </w:trPr>
        <w:tc>
          <w:tcPr>
            <w:tcW w:w="568" w:type="dxa"/>
            <w:shd w:val="clear" w:color="000000" w:fill="FFFFFF"/>
            <w:vAlign w:val="center"/>
            <w:hideMark/>
          </w:tcPr>
          <w:p w14:paraId="6FE4D328" w14:textId="77777777" w:rsidR="009D1E41" w:rsidRPr="007D007C" w:rsidRDefault="009D1E41" w:rsidP="009D1E41">
            <w:pPr>
              <w:jc w:val="center"/>
              <w:rPr>
                <w:rFonts w:ascii="Arial" w:hAnsi="Arial" w:cs="Arial"/>
                <w:b/>
                <w:sz w:val="22"/>
                <w:szCs w:val="18"/>
              </w:rPr>
            </w:pPr>
            <w:r w:rsidRPr="007D007C">
              <w:rPr>
                <w:rFonts w:ascii="Arial" w:hAnsi="Arial" w:cs="Arial"/>
                <w:b/>
                <w:sz w:val="22"/>
                <w:szCs w:val="18"/>
              </w:rPr>
              <w:t>1</w:t>
            </w:r>
          </w:p>
        </w:tc>
        <w:tc>
          <w:tcPr>
            <w:tcW w:w="1832" w:type="dxa"/>
            <w:shd w:val="clear" w:color="000000" w:fill="FFFFFF"/>
            <w:vAlign w:val="center"/>
          </w:tcPr>
          <w:p w14:paraId="38859B65" w14:textId="77777777" w:rsidR="009D1E41" w:rsidRPr="000C401C" w:rsidRDefault="009D1E41" w:rsidP="009D1E41">
            <w:pPr>
              <w:jc w:val="both"/>
              <w:rPr>
                <w:rFonts w:ascii="Arial" w:hAnsi="Arial" w:cs="Arial"/>
                <w:szCs w:val="18"/>
              </w:rPr>
            </w:pPr>
            <w:r>
              <w:rPr>
                <w:rFonts w:ascii="Arial" w:hAnsi="Arial" w:cs="Arial"/>
                <w:szCs w:val="18"/>
              </w:rPr>
              <w:t>Porcentaje de actividades de capacitación con compromiso de evaluación de transferencia en el puesto de trabajo realizadas en el año t.</w:t>
            </w:r>
          </w:p>
          <w:p w14:paraId="78A740E3" w14:textId="77777777" w:rsidR="009D1E41" w:rsidRPr="007D007C" w:rsidRDefault="009D1E41" w:rsidP="009D1E41">
            <w:pPr>
              <w:jc w:val="both"/>
              <w:rPr>
                <w:rFonts w:ascii="Arial" w:hAnsi="Arial" w:cs="Arial"/>
                <w:szCs w:val="18"/>
              </w:rPr>
            </w:pPr>
          </w:p>
        </w:tc>
        <w:tc>
          <w:tcPr>
            <w:tcW w:w="1984" w:type="dxa"/>
            <w:shd w:val="clear" w:color="000000" w:fill="FFFFFF"/>
            <w:vAlign w:val="center"/>
          </w:tcPr>
          <w:p w14:paraId="43714471" w14:textId="77777777" w:rsidR="009D1E41" w:rsidRPr="007D007C" w:rsidRDefault="00CF2E8C" w:rsidP="009D1E41">
            <w:pPr>
              <w:jc w:val="both"/>
              <w:rPr>
                <w:rFonts w:ascii="Arial" w:hAnsi="Arial" w:cs="Arial"/>
                <w:szCs w:val="18"/>
              </w:rPr>
            </w:pPr>
            <w:r>
              <w:rPr>
                <w:rFonts w:ascii="Arial" w:hAnsi="Arial" w:cs="Arial"/>
                <w:szCs w:val="18"/>
              </w:rPr>
              <w:t>(N° de actividad/es de capacitación con compromiso de evaluación de transferencia en el puesto de trabajo realizada en el año t / N° de actividad/es de capacitación con compromiso de evaluación de transferencia en año t) * 100</w:t>
            </w:r>
          </w:p>
        </w:tc>
        <w:tc>
          <w:tcPr>
            <w:tcW w:w="1276" w:type="dxa"/>
            <w:shd w:val="clear" w:color="000000" w:fill="FFFFFF"/>
            <w:vAlign w:val="center"/>
          </w:tcPr>
          <w:p w14:paraId="6B5B862E" w14:textId="77777777" w:rsidR="009D1E41" w:rsidRPr="00592C80" w:rsidRDefault="00CF2E8C" w:rsidP="009D1E41">
            <w:pPr>
              <w:jc w:val="center"/>
              <w:rPr>
                <w:rFonts w:ascii="Arial" w:hAnsi="Arial" w:cs="Arial"/>
                <w:color w:val="000000"/>
                <w:szCs w:val="16"/>
              </w:rPr>
            </w:pPr>
            <w:r>
              <w:rPr>
                <w:rFonts w:ascii="Arial" w:hAnsi="Arial" w:cs="Arial"/>
                <w:color w:val="000000"/>
                <w:szCs w:val="16"/>
              </w:rPr>
              <w:t>N/A</w:t>
            </w:r>
            <w:r>
              <w:rPr>
                <w:rStyle w:val="Refdenotaalpie"/>
                <w:rFonts w:ascii="Arial" w:hAnsi="Arial"/>
                <w:color w:val="000000"/>
                <w:szCs w:val="16"/>
              </w:rPr>
              <w:footnoteReference w:id="2"/>
            </w:r>
          </w:p>
        </w:tc>
        <w:tc>
          <w:tcPr>
            <w:tcW w:w="851" w:type="dxa"/>
            <w:shd w:val="clear" w:color="auto" w:fill="FFFFFF"/>
            <w:vAlign w:val="center"/>
          </w:tcPr>
          <w:p w14:paraId="31377877" w14:textId="77777777" w:rsidR="009D1E41" w:rsidRPr="007D007C" w:rsidRDefault="00CF2E8C"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38153A7B" w14:textId="77777777" w:rsidR="009D1E41" w:rsidRPr="007D007C" w:rsidRDefault="00CF2E8C" w:rsidP="009D1E4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217164F1" w14:textId="77777777" w:rsidR="009D1E41" w:rsidRPr="003963F0" w:rsidRDefault="00CF2E8C" w:rsidP="009D1E41">
            <w:pPr>
              <w:jc w:val="center"/>
              <w:rPr>
                <w:rFonts w:ascii="Arial" w:hAnsi="Arial" w:cs="Arial"/>
                <w:b/>
                <w:szCs w:val="18"/>
              </w:rPr>
            </w:pPr>
            <w:r w:rsidRPr="003963F0">
              <w:rPr>
                <w:rFonts w:ascii="Arial" w:hAnsi="Arial" w:cs="Arial"/>
                <w:b/>
                <w:szCs w:val="18"/>
              </w:rPr>
              <w:t>100%</w:t>
            </w:r>
          </w:p>
        </w:tc>
        <w:tc>
          <w:tcPr>
            <w:tcW w:w="1134" w:type="dxa"/>
            <w:gridSpan w:val="2"/>
            <w:shd w:val="clear" w:color="000000" w:fill="FFFFFF"/>
            <w:vAlign w:val="center"/>
          </w:tcPr>
          <w:p w14:paraId="163A2661" w14:textId="77777777" w:rsidR="009D1E41" w:rsidRPr="00E45815" w:rsidRDefault="00CF2E8C" w:rsidP="009D1E41">
            <w:pPr>
              <w:jc w:val="center"/>
              <w:rPr>
                <w:rFonts w:ascii="Arial" w:hAnsi="Arial" w:cs="Arial"/>
                <w:b/>
                <w:szCs w:val="18"/>
              </w:rPr>
            </w:pPr>
            <w:r>
              <w:rPr>
                <w:rFonts w:ascii="Arial" w:hAnsi="Arial" w:cs="Arial"/>
                <w:b/>
                <w:szCs w:val="18"/>
              </w:rPr>
              <w:t>3 / 3</w:t>
            </w:r>
          </w:p>
        </w:tc>
        <w:tc>
          <w:tcPr>
            <w:tcW w:w="8929" w:type="dxa"/>
            <w:shd w:val="clear" w:color="000000" w:fill="FFFFFF"/>
            <w:noWrap/>
            <w:vAlign w:val="center"/>
          </w:tcPr>
          <w:p w14:paraId="4FDF0CE3" w14:textId="77777777" w:rsidR="009D1E41" w:rsidRDefault="00DB4E38" w:rsidP="009D1E41">
            <w:pPr>
              <w:jc w:val="both"/>
              <w:rPr>
                <w:rFonts w:ascii="Arial" w:hAnsi="Arial" w:cs="Arial"/>
                <w:szCs w:val="18"/>
              </w:rPr>
            </w:pPr>
            <w:r>
              <w:rPr>
                <w:rFonts w:ascii="Arial" w:hAnsi="Arial" w:cs="Arial"/>
                <w:szCs w:val="18"/>
              </w:rPr>
              <w:t>1. Las actividades de capacitación con evaluación de transferencia en el puesto de trabajo propuesta para el indicador deberán contar con la opinión técnica de la Dirección Nacional del Servicio Civil.</w:t>
            </w:r>
          </w:p>
          <w:p w14:paraId="3AFE3C67" w14:textId="77777777" w:rsidR="00DB4E38" w:rsidRDefault="00DB4E38" w:rsidP="009D1E41">
            <w:pPr>
              <w:jc w:val="both"/>
              <w:rPr>
                <w:rFonts w:ascii="Arial" w:hAnsi="Arial" w:cs="Arial"/>
                <w:szCs w:val="18"/>
              </w:rPr>
            </w:pPr>
            <w:r>
              <w:rPr>
                <w:rFonts w:ascii="Arial" w:hAnsi="Arial" w:cs="Arial"/>
                <w:szCs w:val="18"/>
              </w:rPr>
              <w:t xml:space="preserve">2. Las actividades de capacitación con evaluación de transferencia deberán formar parte del Plan Anual de Capacitación, el que también deberá ser revisado por la Dirección Nacional del Servicio Civil y deberá registrarse ene l portal </w:t>
            </w:r>
            <w:r w:rsidRPr="002340FA">
              <w:rPr>
                <w:rFonts w:ascii="Arial" w:hAnsi="Arial" w:cs="Arial"/>
                <w:szCs w:val="18"/>
              </w:rPr>
              <w:t>www.sispubli.cl</w:t>
            </w:r>
            <w:r>
              <w:rPr>
                <w:rFonts w:ascii="Arial" w:hAnsi="Arial" w:cs="Arial"/>
                <w:szCs w:val="18"/>
              </w:rPr>
              <w:t>, a más</w:t>
            </w:r>
            <w:r w:rsidR="00934AB1">
              <w:rPr>
                <w:rFonts w:ascii="Arial" w:hAnsi="Arial" w:cs="Arial"/>
                <w:szCs w:val="18"/>
              </w:rPr>
              <w:t xml:space="preserve"> tardar al 31 de diciembre del año t-1.</w:t>
            </w:r>
          </w:p>
          <w:p w14:paraId="46601063" w14:textId="77777777" w:rsidR="00FF1EE9" w:rsidRDefault="00FF1EE9" w:rsidP="009D1E41">
            <w:pPr>
              <w:jc w:val="both"/>
              <w:rPr>
                <w:rFonts w:ascii="Arial" w:hAnsi="Arial" w:cs="Arial"/>
                <w:szCs w:val="18"/>
              </w:rPr>
            </w:pPr>
            <w:r>
              <w:rPr>
                <w:rFonts w:ascii="Arial" w:hAnsi="Arial" w:cs="Arial"/>
                <w:szCs w:val="18"/>
              </w:rPr>
              <w:t>3. Las actividades de capacitación con evaluación de transferencia en el puesto de trabajo realizadas, corresponden a las ejecutadas durante el año t</w:t>
            </w:r>
            <w:r w:rsidR="002340FA">
              <w:rPr>
                <w:rFonts w:ascii="Arial" w:hAnsi="Arial" w:cs="Arial"/>
                <w:szCs w:val="18"/>
              </w:rPr>
              <w:t xml:space="preserve">, que han sido programadas por la institución, revisadas por la Dirección Nacional del Servicio Civil al 31 de diciembre del año t-1, y registradas en el portal </w:t>
            </w:r>
            <w:r w:rsidR="002340FA" w:rsidRPr="002340FA">
              <w:rPr>
                <w:rFonts w:ascii="Arial" w:hAnsi="Arial" w:cs="Arial"/>
                <w:szCs w:val="18"/>
              </w:rPr>
              <w:t>www.sispubli.cl</w:t>
            </w:r>
            <w:r w:rsidR="002340FA">
              <w:rPr>
                <w:rFonts w:ascii="Arial" w:hAnsi="Arial" w:cs="Arial"/>
                <w:szCs w:val="18"/>
              </w:rPr>
              <w:t xml:space="preserve"> durante el año t.</w:t>
            </w:r>
          </w:p>
          <w:p w14:paraId="6E617F0D" w14:textId="77777777" w:rsidR="002340FA" w:rsidRDefault="002340FA" w:rsidP="002340FA">
            <w:pPr>
              <w:jc w:val="both"/>
              <w:rPr>
                <w:rFonts w:ascii="Arial" w:hAnsi="Arial" w:cs="Arial"/>
                <w:szCs w:val="18"/>
              </w:rPr>
            </w:pPr>
            <w:r>
              <w:rPr>
                <w:rFonts w:ascii="Arial" w:hAnsi="Arial" w:cs="Arial"/>
                <w:szCs w:val="18"/>
              </w:rPr>
              <w:t>4. cada actividad de capacitación con evaluación de transferencia al puesto de trabajo, es aquella que utiliza la metodología de medición e instrumentos que propone la Dirección Nacional del Servicio Civil.</w:t>
            </w:r>
          </w:p>
          <w:p w14:paraId="2D5414CD" w14:textId="77777777" w:rsidR="002340FA" w:rsidRDefault="002340FA" w:rsidP="002340FA">
            <w:pPr>
              <w:jc w:val="both"/>
              <w:rPr>
                <w:rFonts w:ascii="Arial" w:hAnsi="Arial" w:cs="Arial"/>
                <w:szCs w:val="18"/>
              </w:rPr>
            </w:pPr>
            <w:r>
              <w:rPr>
                <w:rFonts w:ascii="Arial" w:hAnsi="Arial" w:cs="Arial"/>
                <w:szCs w:val="18"/>
              </w:rPr>
              <w:t>5. La metodología de evaluación de transferencia en el puesto de trabajo se considerará implementada cuando:</w:t>
            </w:r>
          </w:p>
          <w:p w14:paraId="0DAED8B6" w14:textId="77777777" w:rsidR="002340FA" w:rsidRDefault="002340FA" w:rsidP="002340FA">
            <w:pPr>
              <w:jc w:val="both"/>
              <w:rPr>
                <w:rFonts w:ascii="Arial" w:hAnsi="Arial" w:cs="Arial"/>
                <w:szCs w:val="18"/>
              </w:rPr>
            </w:pPr>
            <w:r>
              <w:rPr>
                <w:rFonts w:ascii="Arial" w:hAnsi="Arial" w:cs="Arial"/>
                <w:szCs w:val="18"/>
              </w:rPr>
              <w:t xml:space="preserve">- Sea aplicada a todos los participantes capacitados de la/s actividad/es </w:t>
            </w:r>
            <w:r w:rsidR="003E6E98">
              <w:rPr>
                <w:rFonts w:ascii="Arial" w:hAnsi="Arial" w:cs="Arial"/>
                <w:szCs w:val="18"/>
              </w:rPr>
              <w:t>comprometidas en el indicador y que al momento de la aplicación de la medición, se encuentren en funciones en el Servicio.</w:t>
            </w:r>
          </w:p>
          <w:p w14:paraId="07BC889A" w14:textId="77777777" w:rsidR="003E6E98" w:rsidRDefault="003E6E98" w:rsidP="002340FA">
            <w:pPr>
              <w:jc w:val="both"/>
              <w:rPr>
                <w:rFonts w:ascii="Arial" w:hAnsi="Arial" w:cs="Arial"/>
                <w:szCs w:val="18"/>
              </w:rPr>
            </w:pPr>
            <w:r>
              <w:rPr>
                <w:rFonts w:ascii="Arial" w:hAnsi="Arial" w:cs="Arial"/>
                <w:szCs w:val="18"/>
              </w:rPr>
              <w:t>- Se cuente con los resultados de los instrumentos de evaluación de reacción de participantes y de relatores, de evaluación de aprendizaje y de transferencia, considerando las siguientes definiciones:</w:t>
            </w:r>
          </w:p>
          <w:p w14:paraId="66D11E2F" w14:textId="77777777" w:rsidR="003E6E98" w:rsidRDefault="003E6E98" w:rsidP="003E6E98">
            <w:pPr>
              <w:pStyle w:val="Prrafodelista"/>
              <w:numPr>
                <w:ilvl w:val="0"/>
                <w:numId w:val="17"/>
              </w:numPr>
              <w:jc w:val="both"/>
              <w:rPr>
                <w:rFonts w:ascii="Arial" w:hAnsi="Arial" w:cs="Arial"/>
                <w:szCs w:val="18"/>
              </w:rPr>
            </w:pPr>
            <w:r>
              <w:rPr>
                <w:rFonts w:ascii="Arial" w:hAnsi="Arial" w:cs="Arial"/>
                <w:szCs w:val="18"/>
              </w:rPr>
              <w:t>Evaluación de Reacción: mide la satisfacción de los participantes ante una actividad de capacitación, en aspectos como la metodología de aprendizaje, calidad de los materiales entregados, calidad del relator, lugar físico donde se impartió la actividad, entre otras variables. En este nivel se propone que la evaluación sea contestada desde dos dimensiones: Relator/es-Instructor/es de la Actividad y Participantes de la Actividad.</w:t>
            </w:r>
          </w:p>
          <w:p w14:paraId="7F7FF1A6" w14:textId="77777777" w:rsidR="003E6E98" w:rsidRDefault="003E6E98" w:rsidP="003E6E98">
            <w:pPr>
              <w:pStyle w:val="Prrafodelista"/>
              <w:numPr>
                <w:ilvl w:val="0"/>
                <w:numId w:val="17"/>
              </w:numPr>
              <w:jc w:val="both"/>
              <w:rPr>
                <w:rFonts w:ascii="Arial" w:hAnsi="Arial" w:cs="Arial"/>
                <w:szCs w:val="18"/>
              </w:rPr>
            </w:pPr>
            <w:r>
              <w:rPr>
                <w:rFonts w:ascii="Arial" w:hAnsi="Arial" w:cs="Arial"/>
                <w:szCs w:val="18"/>
              </w:rPr>
              <w:t xml:space="preserve">Evaluación de Aprendizaje: mide el grado en que los participantes lograron los objetivos de aprendizaje de la actividad. Esta evaluación es la tradicional prueba o test sobre los conocimientos adquiridos en la actividad de capacitación. </w:t>
            </w:r>
          </w:p>
          <w:p w14:paraId="6A6661D1" w14:textId="77777777" w:rsidR="003E6E98" w:rsidRDefault="003E6E98" w:rsidP="003E6E98">
            <w:pPr>
              <w:pStyle w:val="Prrafodelista"/>
              <w:numPr>
                <w:ilvl w:val="0"/>
                <w:numId w:val="17"/>
              </w:numPr>
              <w:jc w:val="both"/>
              <w:rPr>
                <w:rFonts w:ascii="Arial" w:hAnsi="Arial" w:cs="Arial"/>
                <w:szCs w:val="18"/>
              </w:rPr>
            </w:pPr>
            <w:r>
              <w:rPr>
                <w:rFonts w:ascii="Arial" w:hAnsi="Arial" w:cs="Arial"/>
                <w:szCs w:val="18"/>
              </w:rPr>
              <w:t>Evaluación de Transferencia: Determina la medida en la cual los participantes han sido capaces de aplicar o transferir el conocimiento adquirido y las habilidades desa</w:t>
            </w:r>
            <w:r w:rsidR="000470D8">
              <w:rPr>
                <w:rFonts w:ascii="Arial" w:hAnsi="Arial" w:cs="Arial"/>
                <w:szCs w:val="18"/>
              </w:rPr>
              <w:t>rrolladas, al puesto de trabajo. Lo que contribuye a la toma de decisiones basadas</w:t>
            </w:r>
            <w:r w:rsidR="00B77B60">
              <w:rPr>
                <w:rFonts w:ascii="Arial" w:hAnsi="Arial" w:cs="Arial"/>
                <w:szCs w:val="18"/>
              </w:rPr>
              <w:t xml:space="preserve"> en evidencias para mejorar las actividades de capacitación y formación que se desarrollan al interior de los Servicios Públicos.</w:t>
            </w:r>
          </w:p>
          <w:p w14:paraId="74C37A25" w14:textId="77777777" w:rsidR="00B77B60" w:rsidRPr="00B77B60" w:rsidRDefault="00B77B60" w:rsidP="00B77B60">
            <w:pPr>
              <w:jc w:val="both"/>
              <w:rPr>
                <w:rFonts w:ascii="Arial" w:hAnsi="Arial" w:cs="Arial"/>
                <w:szCs w:val="18"/>
              </w:rPr>
            </w:pPr>
            <w:r>
              <w:rPr>
                <w:rFonts w:ascii="Arial" w:hAnsi="Arial" w:cs="Arial"/>
                <w:szCs w:val="18"/>
              </w:rPr>
              <w:t xml:space="preserve">6. Si una actividad de capacitación con evaluación de transferencia en el puesto de trabajo no fuese realizada, el Servicio deberá informar las razones de dicho incumplimiento en el Formulario de Sistematización de </w:t>
            </w:r>
          </w:p>
        </w:tc>
      </w:tr>
      <w:tr w:rsidR="009D1E41" w:rsidRPr="00007E1F" w14:paraId="7E04CB65" w14:textId="77777777" w:rsidTr="00FF1EE9">
        <w:trPr>
          <w:cantSplit/>
          <w:trHeight w:val="439"/>
          <w:jc w:val="center"/>
        </w:trPr>
        <w:tc>
          <w:tcPr>
            <w:tcW w:w="568" w:type="dxa"/>
            <w:shd w:val="clear" w:color="000000" w:fill="FFFFFF"/>
            <w:vAlign w:val="center"/>
            <w:hideMark/>
          </w:tcPr>
          <w:p w14:paraId="35A6798D" w14:textId="77777777" w:rsidR="009D1E41" w:rsidRPr="007D007C" w:rsidRDefault="009D1E41" w:rsidP="009D1E41">
            <w:pPr>
              <w:jc w:val="center"/>
              <w:rPr>
                <w:rFonts w:ascii="Arial" w:hAnsi="Arial" w:cs="Arial"/>
                <w:b/>
                <w:sz w:val="22"/>
                <w:szCs w:val="18"/>
              </w:rPr>
            </w:pPr>
            <w:r>
              <w:rPr>
                <w:rFonts w:ascii="Arial" w:hAnsi="Arial" w:cs="Arial"/>
                <w:b/>
                <w:sz w:val="22"/>
                <w:szCs w:val="18"/>
              </w:rPr>
              <w:lastRenderedPageBreak/>
              <w:t>2</w:t>
            </w:r>
          </w:p>
        </w:tc>
        <w:tc>
          <w:tcPr>
            <w:tcW w:w="1832" w:type="dxa"/>
            <w:shd w:val="clear" w:color="000000" w:fill="FFFFFF"/>
            <w:vAlign w:val="center"/>
          </w:tcPr>
          <w:p w14:paraId="4E91D636" w14:textId="19781373" w:rsidR="009D1E41" w:rsidRPr="007D007C" w:rsidRDefault="003566C0" w:rsidP="009D1E41">
            <w:pPr>
              <w:jc w:val="both"/>
              <w:rPr>
                <w:rFonts w:ascii="Arial" w:hAnsi="Arial" w:cs="Arial"/>
                <w:szCs w:val="18"/>
              </w:rPr>
            </w:pPr>
            <w:r>
              <w:rPr>
                <w:rFonts w:ascii="Arial" w:hAnsi="Arial" w:cs="Arial"/>
                <w:szCs w:val="18"/>
              </w:rPr>
              <w:t>Tasa de Accidentabilidad por Accidentes del Trabajo en el año t</w:t>
            </w:r>
          </w:p>
        </w:tc>
        <w:tc>
          <w:tcPr>
            <w:tcW w:w="1984" w:type="dxa"/>
            <w:shd w:val="clear" w:color="000000" w:fill="FFFFFF"/>
            <w:vAlign w:val="center"/>
          </w:tcPr>
          <w:p w14:paraId="4BD3B41A" w14:textId="77777777" w:rsidR="009D1E41" w:rsidRPr="007D007C" w:rsidRDefault="003566C0" w:rsidP="009D1E41">
            <w:pPr>
              <w:jc w:val="both"/>
              <w:rPr>
                <w:rFonts w:ascii="Arial" w:hAnsi="Arial" w:cs="Arial"/>
                <w:szCs w:val="18"/>
              </w:rPr>
            </w:pPr>
            <w:r>
              <w:rPr>
                <w:rFonts w:ascii="Arial" w:hAnsi="Arial" w:cs="Arial"/>
                <w:szCs w:val="18"/>
              </w:rPr>
              <w:t>(N° de Accidentes del Trabajo ocurridos en el año t / promedio anual de trabajadores en el año t) * 100</w:t>
            </w:r>
          </w:p>
        </w:tc>
        <w:tc>
          <w:tcPr>
            <w:tcW w:w="1276" w:type="dxa"/>
            <w:shd w:val="clear" w:color="000000" w:fill="FFFFFF"/>
            <w:vAlign w:val="center"/>
          </w:tcPr>
          <w:p w14:paraId="13B12529" w14:textId="77777777" w:rsidR="009D1E41" w:rsidRPr="00592C80" w:rsidRDefault="003566C0" w:rsidP="009D1E41">
            <w:pPr>
              <w:jc w:val="center"/>
              <w:rPr>
                <w:rFonts w:ascii="Arial" w:hAnsi="Arial" w:cs="Arial"/>
                <w:bCs/>
                <w:szCs w:val="16"/>
              </w:rPr>
            </w:pPr>
            <w:r>
              <w:rPr>
                <w:rFonts w:ascii="Arial" w:hAnsi="Arial" w:cs="Arial"/>
                <w:bCs/>
                <w:szCs w:val="16"/>
              </w:rPr>
              <w:t>N/A</w:t>
            </w:r>
          </w:p>
        </w:tc>
        <w:tc>
          <w:tcPr>
            <w:tcW w:w="851" w:type="dxa"/>
            <w:shd w:val="clear" w:color="auto" w:fill="FFFFFF"/>
            <w:vAlign w:val="center"/>
          </w:tcPr>
          <w:p w14:paraId="0DEB55F6" w14:textId="77777777" w:rsidR="009D1E41" w:rsidRPr="00592C80" w:rsidRDefault="003566C0"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184D7D76" w14:textId="77777777" w:rsidR="009D1E41" w:rsidRPr="007D007C" w:rsidRDefault="003566C0" w:rsidP="009D1E41">
            <w:pPr>
              <w:jc w:val="center"/>
              <w:rPr>
                <w:rFonts w:ascii="Arial" w:hAnsi="Arial" w:cs="Arial"/>
                <w:szCs w:val="18"/>
              </w:rPr>
            </w:pPr>
            <w:r>
              <w:rPr>
                <w:rFonts w:ascii="Arial" w:hAnsi="Arial" w:cs="Arial"/>
                <w:szCs w:val="18"/>
              </w:rPr>
              <w:t>Tasa</w:t>
            </w:r>
          </w:p>
        </w:tc>
        <w:tc>
          <w:tcPr>
            <w:tcW w:w="1134" w:type="dxa"/>
            <w:shd w:val="clear" w:color="000000" w:fill="FFFFFF"/>
            <w:vAlign w:val="center"/>
          </w:tcPr>
          <w:p w14:paraId="6FD2C918" w14:textId="3F5A833D" w:rsidR="009D1E41" w:rsidRPr="002C0030" w:rsidRDefault="00203988" w:rsidP="009D1E41">
            <w:pPr>
              <w:jc w:val="center"/>
              <w:rPr>
                <w:rFonts w:ascii="Arial" w:hAnsi="Arial" w:cs="Arial"/>
                <w:b/>
                <w:szCs w:val="18"/>
              </w:rPr>
            </w:pPr>
            <w:r>
              <w:rPr>
                <w:rFonts w:ascii="Arial" w:hAnsi="Arial" w:cs="Arial"/>
                <w:b/>
                <w:szCs w:val="18"/>
              </w:rPr>
              <w:t>0,43</w:t>
            </w:r>
            <w:r w:rsidR="003566C0">
              <w:rPr>
                <w:rFonts w:ascii="Arial" w:hAnsi="Arial" w:cs="Arial"/>
                <w:b/>
                <w:szCs w:val="18"/>
              </w:rPr>
              <w:t xml:space="preserve"> </w:t>
            </w:r>
          </w:p>
        </w:tc>
        <w:tc>
          <w:tcPr>
            <w:tcW w:w="1134" w:type="dxa"/>
            <w:gridSpan w:val="2"/>
            <w:shd w:val="clear" w:color="000000" w:fill="FFFFFF"/>
            <w:vAlign w:val="center"/>
          </w:tcPr>
          <w:p w14:paraId="04798486" w14:textId="2D5F798C" w:rsidR="009D1E41" w:rsidRPr="007D007C" w:rsidRDefault="00203988" w:rsidP="009D1E41">
            <w:pPr>
              <w:jc w:val="center"/>
              <w:rPr>
                <w:rFonts w:ascii="Arial" w:hAnsi="Arial" w:cs="Arial"/>
                <w:b/>
                <w:szCs w:val="18"/>
              </w:rPr>
            </w:pPr>
            <w:r>
              <w:rPr>
                <w:rFonts w:ascii="Arial" w:hAnsi="Arial" w:cs="Arial"/>
                <w:b/>
                <w:szCs w:val="18"/>
              </w:rPr>
              <w:t>1</w:t>
            </w:r>
            <w:r w:rsidR="003566C0">
              <w:rPr>
                <w:rFonts w:ascii="Arial" w:hAnsi="Arial" w:cs="Arial"/>
                <w:b/>
                <w:szCs w:val="18"/>
              </w:rPr>
              <w:t xml:space="preserve"> / 23</w:t>
            </w:r>
            <w:r>
              <w:rPr>
                <w:rFonts w:ascii="Arial" w:hAnsi="Arial" w:cs="Arial"/>
                <w:b/>
                <w:szCs w:val="18"/>
              </w:rPr>
              <w:t>2</w:t>
            </w:r>
          </w:p>
        </w:tc>
        <w:tc>
          <w:tcPr>
            <w:tcW w:w="8929" w:type="dxa"/>
            <w:shd w:val="clear" w:color="000000" w:fill="FFFFFF"/>
            <w:noWrap/>
            <w:vAlign w:val="center"/>
          </w:tcPr>
          <w:p w14:paraId="44DDC43F" w14:textId="77777777" w:rsidR="009D1E41" w:rsidRDefault="00E72909" w:rsidP="009D1E41">
            <w:pPr>
              <w:jc w:val="both"/>
              <w:rPr>
                <w:rFonts w:ascii="Arial" w:hAnsi="Arial" w:cs="Arial"/>
                <w:szCs w:val="18"/>
              </w:rPr>
            </w:pPr>
            <w:r w:rsidRPr="00E72909">
              <w:rPr>
                <w:rFonts w:ascii="Arial" w:hAnsi="Arial" w:cs="Arial"/>
                <w:szCs w:val="18"/>
              </w:rPr>
              <w:t xml:space="preserve">1. </w:t>
            </w:r>
            <w:r w:rsidRPr="00E72909">
              <w:rPr>
                <w:rFonts w:ascii="Arial" w:hAnsi="Arial" w:cs="Arial"/>
                <w:szCs w:val="18"/>
                <w:u w:val="single"/>
              </w:rPr>
              <w:t>Accidentes del Trabajo</w:t>
            </w:r>
            <w:r>
              <w:rPr>
                <w:rFonts w:ascii="Arial" w:hAnsi="Arial" w:cs="Arial"/>
                <w:szCs w:val="18"/>
              </w:rPr>
              <w:t>: ‘Toda lesión que una persona sufra a causa o con ocasión del trabajo, y que le produzca incapacidad o muerte’ (artículo 5 de la Ley N° 16.744), es decir, aquéllos que generan días perdidos (ausencia al trabajo) o causan el fallecimiento del trabajador.</w:t>
            </w:r>
          </w:p>
          <w:p w14:paraId="0ABE8E3D" w14:textId="77777777" w:rsidR="00E72909" w:rsidRDefault="00E72909" w:rsidP="009D1E41">
            <w:pPr>
              <w:jc w:val="both"/>
              <w:rPr>
                <w:rFonts w:ascii="Arial" w:hAnsi="Arial" w:cs="Arial"/>
                <w:szCs w:val="18"/>
              </w:rPr>
            </w:pPr>
            <w:r>
              <w:rPr>
                <w:rFonts w:ascii="Arial" w:hAnsi="Arial" w:cs="Arial"/>
                <w:szCs w:val="18"/>
              </w:rPr>
              <w:t>En la determinación del indicador deben considerarse los Accidentes del Trabajo, excluidos los accidentes de trayecto, ya que, en general, en estos accidentes intervienen factores ajenos al control que pueda realizar la entidad empleadora.</w:t>
            </w:r>
          </w:p>
          <w:p w14:paraId="4B637C79" w14:textId="77777777" w:rsidR="00E72909" w:rsidRDefault="00E72909" w:rsidP="00E72909">
            <w:pPr>
              <w:jc w:val="both"/>
              <w:rPr>
                <w:rFonts w:ascii="Arial" w:hAnsi="Arial" w:cs="Arial"/>
                <w:szCs w:val="18"/>
              </w:rPr>
            </w:pPr>
            <w:r>
              <w:rPr>
                <w:rFonts w:ascii="Arial" w:hAnsi="Arial" w:cs="Arial"/>
                <w:szCs w:val="18"/>
              </w:rPr>
              <w:t xml:space="preserve">2. </w:t>
            </w:r>
            <w:r w:rsidRPr="00E72909">
              <w:rPr>
                <w:rFonts w:ascii="Arial" w:hAnsi="Arial" w:cs="Arial"/>
                <w:szCs w:val="18"/>
                <w:u w:val="single"/>
              </w:rPr>
              <w:t>Promedio anual de trabajadores</w:t>
            </w:r>
            <w:r>
              <w:rPr>
                <w:rFonts w:ascii="Arial" w:hAnsi="Arial" w:cs="Arial"/>
                <w:szCs w:val="18"/>
              </w:rPr>
              <w:t xml:space="preserve"> corresponde </w:t>
            </w:r>
            <w:r w:rsidR="006A4AFD">
              <w:rPr>
                <w:rFonts w:ascii="Arial" w:hAnsi="Arial" w:cs="Arial"/>
                <w:szCs w:val="18"/>
              </w:rPr>
              <w:t>a la suma de trabajadores dependientes (funcionarios de planta, contrata, o contratados por Código del Trabajo) determinados mes a mes durante el período anual considerado, dividido por 12. Los trabajadores que hayan estado ausentes o con licencia médica durante todo el mes, no deben contabilizarse en el respectivo mes. Si ellos son reemplazados por trabajadores dependientes, éstos últimos se deberán considerar en el cálculo del indicador.</w:t>
            </w:r>
          </w:p>
          <w:p w14:paraId="42AAFE48" w14:textId="77777777" w:rsidR="006A4AFD" w:rsidRDefault="006A4AFD" w:rsidP="00E72909">
            <w:pPr>
              <w:jc w:val="both"/>
              <w:rPr>
                <w:rFonts w:ascii="Arial" w:hAnsi="Arial" w:cs="Arial"/>
                <w:szCs w:val="18"/>
              </w:rPr>
            </w:pPr>
            <w:r>
              <w:rPr>
                <w:rFonts w:ascii="Arial" w:hAnsi="Arial" w:cs="Arial"/>
                <w:szCs w:val="18"/>
              </w:rPr>
              <w:t>3. Los Servicios que deben constituir y mantener en funcionamiento uno o más Comités Paritarios de Higiene y Seguridad, remiten a la Superintendencia de Seguridad Social una copia del acta de elección y de constitución de dichos comités, así como de las actas de las reuniones realizadas durante el año, del programa de trabajo y de los informes de investigación de los accidentes del trabajo ocurridos en el período. En los accidentes del trabajo ocurridos en el año t se debe aplicar el Procedimiento de actuación frente a la ocurrencia de accidentes del trabajo y ser investigados, el cual debería contener como mínimo lo siguiente:</w:t>
            </w:r>
          </w:p>
          <w:p w14:paraId="34E9DF35" w14:textId="77777777" w:rsidR="006A4AFD" w:rsidRDefault="006A4AFD" w:rsidP="00E72909">
            <w:pPr>
              <w:jc w:val="both"/>
              <w:rPr>
                <w:rFonts w:ascii="Arial" w:hAnsi="Arial" w:cs="Arial"/>
                <w:szCs w:val="18"/>
              </w:rPr>
            </w:pPr>
            <w:r>
              <w:rPr>
                <w:rFonts w:ascii="Arial" w:hAnsi="Arial" w:cs="Arial"/>
                <w:szCs w:val="18"/>
              </w:rPr>
              <w:t xml:space="preserve"> a. Organización Administrativa. Instancia encargada de recibir la notificación del accidente, de gestionar la atención del accidentado, efectuar la denuncia (Denuncia Individual de Accidente del Trabajo, DIAT) y llevar el registro de los accidentes del trabajo.</w:t>
            </w:r>
          </w:p>
          <w:p w14:paraId="0B24BFEF" w14:textId="77777777" w:rsidR="006A4AFD" w:rsidRDefault="006A4AFD" w:rsidP="00E72909">
            <w:pPr>
              <w:jc w:val="both"/>
              <w:rPr>
                <w:rFonts w:ascii="Arial" w:hAnsi="Arial" w:cs="Arial"/>
                <w:szCs w:val="18"/>
              </w:rPr>
            </w:pPr>
            <w:r>
              <w:rPr>
                <w:rFonts w:ascii="Arial" w:hAnsi="Arial" w:cs="Arial"/>
                <w:szCs w:val="18"/>
              </w:rPr>
              <w:t xml:space="preserve"> b. Procedimiento que deben seguir los funcionarios en caso de accidente.</w:t>
            </w:r>
          </w:p>
          <w:p w14:paraId="1BE3F8D6" w14:textId="77777777" w:rsidR="006A4AFD" w:rsidRDefault="006A4AFD" w:rsidP="00E72909">
            <w:pPr>
              <w:jc w:val="both"/>
              <w:rPr>
                <w:rFonts w:ascii="Arial" w:hAnsi="Arial" w:cs="Arial"/>
                <w:szCs w:val="18"/>
              </w:rPr>
            </w:pPr>
            <w:r>
              <w:rPr>
                <w:rFonts w:ascii="Arial" w:hAnsi="Arial" w:cs="Arial"/>
                <w:szCs w:val="18"/>
              </w:rPr>
              <w:t xml:space="preserve"> c. Denuncia del accidente ante el organismo administrador del Seguro Laboral.</w:t>
            </w:r>
          </w:p>
          <w:p w14:paraId="13CDE863" w14:textId="77777777" w:rsidR="006A4AFD" w:rsidRDefault="006A4AFD" w:rsidP="00E72909">
            <w:pPr>
              <w:jc w:val="both"/>
              <w:rPr>
                <w:rFonts w:ascii="Arial" w:hAnsi="Arial" w:cs="Arial"/>
                <w:szCs w:val="18"/>
              </w:rPr>
            </w:pPr>
            <w:r>
              <w:rPr>
                <w:rFonts w:ascii="Arial" w:hAnsi="Arial" w:cs="Arial"/>
                <w:szCs w:val="18"/>
              </w:rPr>
              <w:t xml:space="preserve"> d. Investigación del accidente, medidas inmediatas y correctivas.</w:t>
            </w:r>
          </w:p>
          <w:p w14:paraId="5D58CBBF" w14:textId="77777777" w:rsidR="006A4AFD" w:rsidRDefault="005926F1" w:rsidP="00E72909">
            <w:pPr>
              <w:jc w:val="both"/>
              <w:rPr>
                <w:rFonts w:ascii="Arial" w:hAnsi="Arial" w:cs="Arial"/>
                <w:szCs w:val="18"/>
              </w:rPr>
            </w:pPr>
            <w:r>
              <w:rPr>
                <w:rFonts w:ascii="Arial" w:hAnsi="Arial" w:cs="Arial"/>
                <w:szCs w:val="18"/>
              </w:rPr>
              <w:t xml:space="preserve"> e. Registro de los Accidentes del Trabajo. </w:t>
            </w:r>
          </w:p>
          <w:p w14:paraId="328D378D" w14:textId="77777777" w:rsidR="005926F1" w:rsidRDefault="005926F1" w:rsidP="00E72909">
            <w:pPr>
              <w:jc w:val="both"/>
              <w:rPr>
                <w:rFonts w:ascii="Arial" w:hAnsi="Arial" w:cs="Arial"/>
                <w:szCs w:val="18"/>
              </w:rPr>
            </w:pPr>
            <w:r>
              <w:rPr>
                <w:rFonts w:ascii="Arial" w:hAnsi="Arial" w:cs="Arial"/>
                <w:szCs w:val="18"/>
              </w:rPr>
              <w:t>4. Para el caso de aquellos Servicios que, de acuerdo a la Lay N° 16.744 deben tener constituido y funcionando un Comité Paritario, éste debe realizar o participar en la investigación de los accidentes de trabajo.</w:t>
            </w:r>
          </w:p>
          <w:p w14:paraId="6E98FBE7" w14:textId="77777777" w:rsidR="006A4AFD" w:rsidRPr="00E72909" w:rsidRDefault="005926F1" w:rsidP="005926F1">
            <w:pPr>
              <w:jc w:val="both"/>
              <w:rPr>
                <w:rFonts w:ascii="Arial" w:hAnsi="Arial" w:cs="Arial"/>
                <w:szCs w:val="18"/>
              </w:rPr>
            </w:pPr>
            <w:r>
              <w:rPr>
                <w:rFonts w:ascii="Arial" w:hAnsi="Arial" w:cs="Arial"/>
                <w:szCs w:val="18"/>
              </w:rPr>
              <w:t>5. El indicador es anual, por lo que el período de medición es: 1° de enero a 31 de diciembre año t. Por tanto, la evaluación del indicador debe hacerse en enero de t+1.</w:t>
            </w:r>
          </w:p>
        </w:tc>
      </w:tr>
      <w:tr w:rsidR="009D1E41" w:rsidRPr="00007E1F" w14:paraId="097A5077" w14:textId="77777777" w:rsidTr="00FF1EE9">
        <w:trPr>
          <w:cantSplit/>
          <w:trHeight w:val="1115"/>
          <w:jc w:val="center"/>
        </w:trPr>
        <w:tc>
          <w:tcPr>
            <w:tcW w:w="568" w:type="dxa"/>
            <w:shd w:val="clear" w:color="000000" w:fill="FFFFFF"/>
            <w:vAlign w:val="center"/>
            <w:hideMark/>
          </w:tcPr>
          <w:p w14:paraId="18FBD2E9" w14:textId="77777777" w:rsidR="009D1E41" w:rsidRPr="007D007C" w:rsidRDefault="009D1E41" w:rsidP="009D1E41">
            <w:pPr>
              <w:jc w:val="center"/>
              <w:rPr>
                <w:rFonts w:ascii="Arial" w:hAnsi="Arial" w:cs="Arial"/>
                <w:b/>
                <w:sz w:val="22"/>
                <w:szCs w:val="18"/>
              </w:rPr>
            </w:pPr>
            <w:r>
              <w:rPr>
                <w:rFonts w:ascii="Arial" w:hAnsi="Arial" w:cs="Arial"/>
                <w:b/>
                <w:sz w:val="22"/>
                <w:szCs w:val="18"/>
              </w:rPr>
              <w:lastRenderedPageBreak/>
              <w:t>3</w:t>
            </w:r>
          </w:p>
        </w:tc>
        <w:tc>
          <w:tcPr>
            <w:tcW w:w="1832" w:type="dxa"/>
            <w:shd w:val="clear" w:color="000000" w:fill="FFFFFF"/>
            <w:vAlign w:val="center"/>
          </w:tcPr>
          <w:p w14:paraId="0FD6F9CE" w14:textId="77777777" w:rsidR="009D1E41" w:rsidRPr="00594266" w:rsidRDefault="001E3331" w:rsidP="009D1E41">
            <w:pPr>
              <w:jc w:val="both"/>
              <w:rPr>
                <w:rFonts w:ascii="Arial" w:hAnsi="Arial" w:cs="Arial"/>
                <w:szCs w:val="18"/>
              </w:rPr>
            </w:pPr>
            <w:r>
              <w:rPr>
                <w:rFonts w:ascii="Arial" w:hAnsi="Arial" w:cs="Arial"/>
                <w:szCs w:val="18"/>
              </w:rPr>
              <w:t>Porcentaje de licitaciones sin oferente en el año t.</w:t>
            </w:r>
          </w:p>
        </w:tc>
        <w:tc>
          <w:tcPr>
            <w:tcW w:w="1984" w:type="dxa"/>
            <w:shd w:val="clear" w:color="000000" w:fill="FFFFFF"/>
            <w:vAlign w:val="center"/>
          </w:tcPr>
          <w:p w14:paraId="453A206A" w14:textId="77777777" w:rsidR="009D1E41" w:rsidRPr="004A3100" w:rsidRDefault="000063BF" w:rsidP="009D1E41">
            <w:pPr>
              <w:jc w:val="both"/>
              <w:rPr>
                <w:rFonts w:ascii="Arial" w:hAnsi="Arial" w:cs="Arial"/>
                <w:szCs w:val="18"/>
                <w:lang w:val="es-CL"/>
              </w:rPr>
            </w:pPr>
            <w:r>
              <w:rPr>
                <w:rFonts w:ascii="Arial" w:hAnsi="Arial" w:cs="Arial"/>
                <w:szCs w:val="18"/>
                <w:lang w:val="es-CL"/>
              </w:rPr>
              <w:t>(N° de procesos de licitaciones en las que se cerró la recepción de ofertas el año t que no tuvieron oferentes / N° de procesos de licitaciones en las que se cerró la recepción de ofertas el año t) * 100</w:t>
            </w:r>
          </w:p>
        </w:tc>
        <w:tc>
          <w:tcPr>
            <w:tcW w:w="1276" w:type="dxa"/>
            <w:shd w:val="clear" w:color="000000" w:fill="FFFFFF"/>
            <w:vAlign w:val="center"/>
          </w:tcPr>
          <w:p w14:paraId="61FA4E69" w14:textId="77777777" w:rsidR="009D1E41" w:rsidRPr="00592C80" w:rsidRDefault="002F75FE" w:rsidP="009D1E41">
            <w:pPr>
              <w:jc w:val="center"/>
              <w:rPr>
                <w:rFonts w:ascii="Arial" w:hAnsi="Arial" w:cs="Arial"/>
                <w:color w:val="000000"/>
                <w:szCs w:val="16"/>
              </w:rPr>
            </w:pPr>
            <w:r>
              <w:rPr>
                <w:rFonts w:ascii="Arial" w:hAnsi="Arial" w:cs="Arial"/>
                <w:color w:val="000000"/>
                <w:szCs w:val="16"/>
              </w:rPr>
              <w:t>N/A</w:t>
            </w:r>
          </w:p>
        </w:tc>
        <w:tc>
          <w:tcPr>
            <w:tcW w:w="851" w:type="dxa"/>
            <w:shd w:val="clear" w:color="auto" w:fill="FFFFFF"/>
            <w:vAlign w:val="center"/>
          </w:tcPr>
          <w:p w14:paraId="5A9EEC0F" w14:textId="77777777" w:rsidR="009D1E41" w:rsidRPr="007D007C" w:rsidRDefault="002F75FE"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1DD2D418" w14:textId="77777777" w:rsidR="009D1E41" w:rsidRPr="007D007C" w:rsidRDefault="002F75FE" w:rsidP="009D1E4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C1F4BA0" w14:textId="28CDBF20" w:rsidR="009D1E41" w:rsidRPr="00086F84" w:rsidRDefault="00203988" w:rsidP="009D1E41">
            <w:pPr>
              <w:jc w:val="center"/>
              <w:rPr>
                <w:rFonts w:ascii="Arial" w:hAnsi="Arial" w:cs="Arial"/>
                <w:b/>
                <w:szCs w:val="18"/>
              </w:rPr>
            </w:pPr>
            <w:r>
              <w:rPr>
                <w:rFonts w:ascii="Arial" w:hAnsi="Arial" w:cs="Arial"/>
                <w:b/>
                <w:szCs w:val="18"/>
              </w:rPr>
              <w:t>0</w:t>
            </w:r>
            <w:r w:rsidR="003963F0">
              <w:rPr>
                <w:rFonts w:ascii="Arial" w:hAnsi="Arial" w:cs="Arial"/>
                <w:b/>
                <w:szCs w:val="18"/>
              </w:rPr>
              <w:t xml:space="preserve"> %</w:t>
            </w:r>
          </w:p>
        </w:tc>
        <w:tc>
          <w:tcPr>
            <w:tcW w:w="1134" w:type="dxa"/>
            <w:gridSpan w:val="2"/>
            <w:shd w:val="clear" w:color="000000" w:fill="FFFFFF"/>
            <w:vAlign w:val="center"/>
          </w:tcPr>
          <w:p w14:paraId="17A507BA" w14:textId="4F4D2E9B" w:rsidR="009D1E41" w:rsidRPr="00472543" w:rsidRDefault="00203988" w:rsidP="009D1E41">
            <w:pPr>
              <w:jc w:val="center"/>
              <w:rPr>
                <w:rFonts w:ascii="Arial" w:hAnsi="Arial" w:cs="Arial"/>
                <w:b/>
                <w:szCs w:val="18"/>
              </w:rPr>
            </w:pPr>
            <w:r>
              <w:rPr>
                <w:rFonts w:ascii="Arial" w:hAnsi="Arial" w:cs="Arial"/>
                <w:b/>
                <w:szCs w:val="18"/>
              </w:rPr>
              <w:t>0</w:t>
            </w:r>
            <w:r w:rsidR="003963F0">
              <w:rPr>
                <w:rFonts w:ascii="Arial" w:hAnsi="Arial" w:cs="Arial"/>
                <w:b/>
                <w:szCs w:val="18"/>
              </w:rPr>
              <w:t xml:space="preserve"> / </w:t>
            </w:r>
            <w:r>
              <w:rPr>
                <w:rFonts w:ascii="Arial" w:hAnsi="Arial" w:cs="Arial"/>
                <w:b/>
                <w:szCs w:val="18"/>
              </w:rPr>
              <w:t>13</w:t>
            </w:r>
          </w:p>
        </w:tc>
        <w:tc>
          <w:tcPr>
            <w:tcW w:w="8929" w:type="dxa"/>
            <w:shd w:val="clear" w:color="000000" w:fill="FFFFFF"/>
            <w:vAlign w:val="center"/>
          </w:tcPr>
          <w:p w14:paraId="312632CD" w14:textId="77777777" w:rsidR="009D1E41" w:rsidRDefault="003963F0" w:rsidP="009D1E41">
            <w:pPr>
              <w:jc w:val="both"/>
              <w:rPr>
                <w:rFonts w:ascii="Arial" w:hAnsi="Arial" w:cs="Arial"/>
                <w:szCs w:val="18"/>
              </w:rPr>
            </w:pPr>
            <w:r>
              <w:rPr>
                <w:rFonts w:ascii="Arial" w:hAnsi="Arial" w:cs="Arial"/>
                <w:szCs w:val="18"/>
              </w:rPr>
              <w:t>1. Licitaciones en las que se cerró la recepción de ofertas, consideran:</w:t>
            </w:r>
          </w:p>
          <w:p w14:paraId="2177C036" w14:textId="77777777" w:rsidR="003963F0" w:rsidRDefault="003963F0" w:rsidP="009D1E41">
            <w:pPr>
              <w:jc w:val="both"/>
              <w:rPr>
                <w:rFonts w:ascii="Arial" w:hAnsi="Arial" w:cs="Arial"/>
                <w:szCs w:val="18"/>
              </w:rPr>
            </w:pPr>
            <w:r>
              <w:rPr>
                <w:rFonts w:ascii="Arial" w:hAnsi="Arial" w:cs="Arial"/>
                <w:szCs w:val="18"/>
              </w:rPr>
              <w:t xml:space="preserve"> 1.1 Todas las licitaciones realizadas en </w:t>
            </w:r>
            <w:r w:rsidRPr="003963F0">
              <w:rPr>
                <w:rFonts w:ascii="Arial" w:hAnsi="Arial" w:cs="Arial"/>
                <w:szCs w:val="18"/>
              </w:rPr>
              <w:t>www.mercadopublico.cl</w:t>
            </w:r>
            <w:r>
              <w:rPr>
                <w:rFonts w:ascii="Arial" w:hAnsi="Arial" w:cs="Arial"/>
                <w:szCs w:val="18"/>
              </w:rPr>
              <w:t>, por el organismo público que reporta, cuya fecha de cierre de recepción de ofertas haya ocurrido durante el año t, independiente del estado posterior que adopte el mismo proceso de licitación.</w:t>
            </w:r>
          </w:p>
          <w:p w14:paraId="0A159403" w14:textId="77777777" w:rsidR="003963F0" w:rsidRDefault="003963F0" w:rsidP="009D1E41">
            <w:pPr>
              <w:jc w:val="both"/>
              <w:rPr>
                <w:rFonts w:ascii="Arial" w:hAnsi="Arial" w:cs="Arial"/>
                <w:szCs w:val="18"/>
              </w:rPr>
            </w:pPr>
            <w:r>
              <w:rPr>
                <w:rFonts w:ascii="Arial" w:hAnsi="Arial" w:cs="Arial"/>
                <w:szCs w:val="18"/>
              </w:rPr>
              <w:t xml:space="preserve"> 1.2 La totalidad de sus unidades de compra, incluido los servicios de bienestar, si corresponde.</w:t>
            </w:r>
          </w:p>
          <w:p w14:paraId="78DBF9FF" w14:textId="77777777" w:rsidR="003963F0" w:rsidRDefault="003963F0" w:rsidP="009D1E41">
            <w:pPr>
              <w:jc w:val="both"/>
              <w:rPr>
                <w:rFonts w:ascii="Arial" w:hAnsi="Arial" w:cs="Arial"/>
                <w:szCs w:val="18"/>
              </w:rPr>
            </w:pPr>
            <w:r>
              <w:rPr>
                <w:rFonts w:ascii="Arial" w:hAnsi="Arial" w:cs="Arial"/>
                <w:szCs w:val="18"/>
              </w:rPr>
              <w:t xml:space="preserve"> 1.3 Las ‘informadas’, que corresponden a las licitaciones que, no obstante encontrarse excluidas de la aplicación de la Ley N° 19.886 en virtud de su artículo 3°, son igualmente informadas a través del Sistema de Información por aplicación del artículo 21° de la misma.</w:t>
            </w:r>
          </w:p>
          <w:p w14:paraId="2A12B3B5" w14:textId="77777777" w:rsidR="003963F0" w:rsidRDefault="003963F0" w:rsidP="009D1E41">
            <w:pPr>
              <w:jc w:val="both"/>
              <w:rPr>
                <w:rFonts w:ascii="Arial" w:hAnsi="Arial" w:cs="Arial"/>
                <w:szCs w:val="18"/>
              </w:rPr>
            </w:pPr>
            <w:r>
              <w:rPr>
                <w:rFonts w:ascii="Arial" w:hAnsi="Arial" w:cs="Arial"/>
                <w:szCs w:val="18"/>
              </w:rPr>
              <w:t xml:space="preserve"> 1.4 Las licitaciones en estado ‘Revocada’, siempre que dicha revocación se hubiera realizado con posterioridad al cierre de recepción de ofertas.</w:t>
            </w:r>
          </w:p>
          <w:p w14:paraId="2A84FB33" w14:textId="77777777" w:rsidR="003963F0" w:rsidRDefault="003963F0" w:rsidP="009D1E41">
            <w:pPr>
              <w:jc w:val="both"/>
              <w:rPr>
                <w:rFonts w:ascii="Arial" w:hAnsi="Arial" w:cs="Arial"/>
                <w:szCs w:val="18"/>
              </w:rPr>
            </w:pPr>
            <w:r>
              <w:rPr>
                <w:rFonts w:ascii="Arial" w:hAnsi="Arial" w:cs="Arial"/>
                <w:szCs w:val="18"/>
              </w:rPr>
              <w:t xml:space="preserve"> 1.5 En el caso de las licitaciones en estado ‘Suspendida’, sólo deberá considerarse en el indicador si la suspensión es ordenada por el Tribunal con posterioridad al cierre de recepción de ofertas.</w:t>
            </w:r>
          </w:p>
          <w:p w14:paraId="4AA5A234" w14:textId="77777777" w:rsidR="003963F0" w:rsidRDefault="003963F0" w:rsidP="009D1E41">
            <w:pPr>
              <w:jc w:val="both"/>
              <w:rPr>
                <w:rFonts w:ascii="Arial" w:hAnsi="Arial" w:cs="Arial"/>
                <w:szCs w:val="18"/>
              </w:rPr>
            </w:pPr>
            <w:r>
              <w:rPr>
                <w:rFonts w:ascii="Arial" w:hAnsi="Arial" w:cs="Arial"/>
                <w:szCs w:val="18"/>
              </w:rPr>
              <w:t xml:space="preserve">2. </w:t>
            </w:r>
            <w:r w:rsidR="00EE1572">
              <w:rPr>
                <w:rFonts w:ascii="Arial" w:hAnsi="Arial" w:cs="Arial"/>
                <w:szCs w:val="18"/>
              </w:rPr>
              <w:t xml:space="preserve"> </w:t>
            </w:r>
            <w:r w:rsidRPr="003963F0">
              <w:rPr>
                <w:rFonts w:ascii="Arial" w:hAnsi="Arial" w:cs="Arial"/>
                <w:szCs w:val="18"/>
                <w:u w:val="single"/>
              </w:rPr>
              <w:t>Licitación en las que cerró la recepción de ofertas</w:t>
            </w:r>
            <w:r>
              <w:rPr>
                <w:rFonts w:ascii="Arial" w:hAnsi="Arial" w:cs="Arial"/>
                <w:szCs w:val="18"/>
              </w:rPr>
              <w:t xml:space="preserve"> no consideran las re-adjudicaciones.</w:t>
            </w:r>
          </w:p>
          <w:p w14:paraId="4F4C7417" w14:textId="77777777" w:rsidR="00EE1572" w:rsidRDefault="003963F0" w:rsidP="009D1E41">
            <w:pPr>
              <w:jc w:val="both"/>
              <w:rPr>
                <w:rFonts w:ascii="Arial" w:hAnsi="Arial" w:cs="Arial"/>
                <w:szCs w:val="18"/>
              </w:rPr>
            </w:pPr>
            <w:r>
              <w:rPr>
                <w:rFonts w:ascii="Arial" w:hAnsi="Arial" w:cs="Arial"/>
                <w:szCs w:val="18"/>
              </w:rPr>
              <w:t xml:space="preserve">3. </w:t>
            </w:r>
            <w:r w:rsidRPr="00EE1572">
              <w:rPr>
                <w:rFonts w:ascii="Arial" w:hAnsi="Arial" w:cs="Arial"/>
                <w:szCs w:val="18"/>
                <w:u w:val="single"/>
              </w:rPr>
              <w:t>Los procesos en los cuales se cerró la recepción de ofertas</w:t>
            </w:r>
            <w:r w:rsidR="00EE1572">
              <w:rPr>
                <w:rFonts w:ascii="Arial" w:hAnsi="Arial" w:cs="Arial"/>
                <w:szCs w:val="18"/>
              </w:rPr>
              <w:t xml:space="preserve"> que no tuvieron oferentes, considera aquellas licitaciones realizadas en </w:t>
            </w:r>
            <w:hyperlink r:id="rId8" w:history="1">
              <w:r w:rsidR="00EE1572" w:rsidRPr="00E52784">
                <w:rPr>
                  <w:rStyle w:val="Hipervnculo"/>
                  <w:rFonts w:ascii="Arial" w:hAnsi="Arial" w:cs="Arial"/>
                  <w:szCs w:val="18"/>
                </w:rPr>
                <w:t>www.mercadopublico.cl</w:t>
              </w:r>
            </w:hyperlink>
            <w:r w:rsidR="00EE1572">
              <w:rPr>
                <w:rFonts w:ascii="Arial" w:hAnsi="Arial" w:cs="Arial"/>
                <w:szCs w:val="18"/>
              </w:rPr>
              <w:t>, cuya fecha de cierre de recepción de ofertas haya ocurrido durante el año t y que no hayan recibido ofertas, esto es, licitaciones en estado ‘desierta’ por falta de oferentes.</w:t>
            </w:r>
          </w:p>
          <w:p w14:paraId="430E6FF8" w14:textId="77777777" w:rsidR="003963F0" w:rsidRDefault="00EE1572" w:rsidP="009D1E41">
            <w:pPr>
              <w:jc w:val="both"/>
              <w:rPr>
                <w:rFonts w:ascii="Arial" w:hAnsi="Arial" w:cs="Arial"/>
                <w:szCs w:val="18"/>
              </w:rPr>
            </w:pPr>
            <w:r>
              <w:rPr>
                <w:rFonts w:ascii="Arial" w:hAnsi="Arial" w:cs="Arial"/>
                <w:szCs w:val="18"/>
              </w:rPr>
              <w:t>4. Operar en el portal de Compras Públicas wwww.mercadopublico.cl, según lo establece su normativa: Ley N° 19.886 de Bases sobre Contratos Administrativos de Suministro y Prestación de Servicios, y su Reglamento.</w:t>
            </w:r>
          </w:p>
          <w:p w14:paraId="1BEA603A" w14:textId="77777777" w:rsidR="00EE1572" w:rsidRPr="007D007C" w:rsidRDefault="00EE1572" w:rsidP="00EE1572">
            <w:pPr>
              <w:jc w:val="both"/>
              <w:rPr>
                <w:rFonts w:ascii="Arial" w:hAnsi="Arial" w:cs="Arial"/>
                <w:szCs w:val="18"/>
              </w:rPr>
            </w:pPr>
            <w:r>
              <w:rPr>
                <w:rFonts w:ascii="Arial" w:hAnsi="Arial" w:cs="Arial"/>
                <w:szCs w:val="18"/>
              </w:rPr>
              <w:t>5. Los Servicios que presenten al menos un (1) proceso de licitación sin oferentes ene l año t, deberán elaborar un informe de análisis con las razones por las cuales, el o los procesos en que se cerró la recepción de ofertas, quedó o quedaron sin oferentes.</w:t>
            </w:r>
          </w:p>
        </w:tc>
      </w:tr>
      <w:tr w:rsidR="009D1E41" w:rsidRPr="00007E1F" w14:paraId="2A7B76BF" w14:textId="77777777" w:rsidTr="00FF1EE9">
        <w:trPr>
          <w:cantSplit/>
          <w:trHeight w:val="1115"/>
          <w:jc w:val="center"/>
        </w:trPr>
        <w:tc>
          <w:tcPr>
            <w:tcW w:w="568" w:type="dxa"/>
            <w:shd w:val="clear" w:color="000000" w:fill="FFFFFF"/>
            <w:vAlign w:val="center"/>
          </w:tcPr>
          <w:p w14:paraId="346D8BF8" w14:textId="77777777" w:rsidR="009D1E41" w:rsidRPr="007D007C" w:rsidRDefault="009D1E41" w:rsidP="009D1E41">
            <w:pPr>
              <w:jc w:val="center"/>
              <w:rPr>
                <w:rFonts w:ascii="Arial" w:hAnsi="Arial" w:cs="Arial"/>
                <w:b/>
                <w:sz w:val="22"/>
                <w:szCs w:val="18"/>
              </w:rPr>
            </w:pPr>
            <w:r>
              <w:rPr>
                <w:rFonts w:ascii="Arial" w:hAnsi="Arial" w:cs="Arial"/>
                <w:b/>
                <w:sz w:val="22"/>
                <w:szCs w:val="18"/>
              </w:rPr>
              <w:lastRenderedPageBreak/>
              <w:t>4</w:t>
            </w:r>
          </w:p>
        </w:tc>
        <w:tc>
          <w:tcPr>
            <w:tcW w:w="1832" w:type="dxa"/>
            <w:shd w:val="clear" w:color="000000" w:fill="FFFFFF"/>
            <w:vAlign w:val="center"/>
          </w:tcPr>
          <w:p w14:paraId="699F7F69" w14:textId="77777777" w:rsidR="009D1E41" w:rsidRPr="00594266" w:rsidRDefault="00EE1572" w:rsidP="009D1E41">
            <w:pPr>
              <w:jc w:val="both"/>
              <w:rPr>
                <w:rFonts w:ascii="Arial" w:hAnsi="Arial" w:cs="Arial"/>
                <w:szCs w:val="18"/>
              </w:rPr>
            </w:pPr>
            <w:r>
              <w:rPr>
                <w:rFonts w:ascii="Arial" w:hAnsi="Arial" w:cs="Arial"/>
                <w:szCs w:val="18"/>
              </w:rPr>
              <w:t xml:space="preserve">Porcentaje </w:t>
            </w:r>
            <w:r w:rsidR="008F52B9">
              <w:rPr>
                <w:rFonts w:ascii="Arial" w:hAnsi="Arial" w:cs="Arial"/>
                <w:szCs w:val="18"/>
              </w:rPr>
              <w:t>de controles de seguridad de la información implementados respecto del total definido en la Norma NCh-ISO 27001, al año t.</w:t>
            </w:r>
          </w:p>
        </w:tc>
        <w:tc>
          <w:tcPr>
            <w:tcW w:w="1984" w:type="dxa"/>
            <w:shd w:val="clear" w:color="000000" w:fill="FFFFFF"/>
            <w:vAlign w:val="center"/>
          </w:tcPr>
          <w:p w14:paraId="26E7C294" w14:textId="77777777" w:rsidR="009D1E41" w:rsidRPr="004A3100" w:rsidRDefault="008F52B9" w:rsidP="009D1E41">
            <w:pPr>
              <w:jc w:val="both"/>
              <w:rPr>
                <w:rFonts w:ascii="Arial" w:hAnsi="Arial" w:cs="Arial"/>
                <w:szCs w:val="18"/>
                <w:lang w:val="es-CL"/>
              </w:rPr>
            </w:pPr>
            <w:r>
              <w:rPr>
                <w:rFonts w:ascii="Arial" w:hAnsi="Arial" w:cs="Arial"/>
                <w:szCs w:val="18"/>
                <w:lang w:val="es-CL"/>
              </w:rPr>
              <w:t>(N° de controles de seguridad de la Norma NCh-ISO 27001 implementados para mitigar riesgos de seguridad de la información al año t / N° total de controles establecidos en la Norma NCh-ISO 27001 para mitigar riesgos de seguridad de la información) * 100</w:t>
            </w:r>
          </w:p>
        </w:tc>
        <w:tc>
          <w:tcPr>
            <w:tcW w:w="1276" w:type="dxa"/>
            <w:shd w:val="clear" w:color="000000" w:fill="FFFFFF"/>
            <w:vAlign w:val="center"/>
          </w:tcPr>
          <w:p w14:paraId="24205CAB" w14:textId="77777777" w:rsidR="009D1E41" w:rsidRPr="00592C80" w:rsidRDefault="008F52B9" w:rsidP="009D1E41">
            <w:pPr>
              <w:jc w:val="center"/>
              <w:rPr>
                <w:rFonts w:ascii="Arial" w:hAnsi="Arial" w:cs="Arial"/>
                <w:color w:val="000000"/>
                <w:szCs w:val="16"/>
              </w:rPr>
            </w:pPr>
            <w:r>
              <w:rPr>
                <w:rFonts w:ascii="Arial" w:hAnsi="Arial" w:cs="Arial"/>
                <w:color w:val="000000"/>
                <w:szCs w:val="16"/>
              </w:rPr>
              <w:t>N/A</w:t>
            </w:r>
          </w:p>
        </w:tc>
        <w:tc>
          <w:tcPr>
            <w:tcW w:w="851" w:type="dxa"/>
            <w:shd w:val="clear" w:color="auto" w:fill="FFFFFF"/>
            <w:vAlign w:val="center"/>
          </w:tcPr>
          <w:p w14:paraId="088FC8BE" w14:textId="77777777" w:rsidR="009D1E41" w:rsidRPr="007D007C" w:rsidRDefault="008F52B9"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0F14D27B" w14:textId="77777777" w:rsidR="009D1E41" w:rsidRPr="007D007C" w:rsidRDefault="008F52B9" w:rsidP="009D1E4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2CDB67AA" w14:textId="19652B82" w:rsidR="009D1E41" w:rsidRPr="00086F84" w:rsidRDefault="00203988" w:rsidP="009D1E41">
            <w:pPr>
              <w:jc w:val="center"/>
              <w:rPr>
                <w:rFonts w:ascii="Arial" w:hAnsi="Arial" w:cs="Arial"/>
                <w:b/>
                <w:szCs w:val="18"/>
              </w:rPr>
            </w:pPr>
            <w:r>
              <w:rPr>
                <w:rFonts w:ascii="Arial" w:hAnsi="Arial" w:cs="Arial"/>
                <w:b/>
                <w:szCs w:val="18"/>
              </w:rPr>
              <w:t>39</w:t>
            </w:r>
            <w:r w:rsidR="008F52B9">
              <w:rPr>
                <w:rFonts w:ascii="Arial" w:hAnsi="Arial" w:cs="Arial"/>
                <w:b/>
                <w:szCs w:val="18"/>
              </w:rPr>
              <w:t>%</w:t>
            </w:r>
          </w:p>
        </w:tc>
        <w:tc>
          <w:tcPr>
            <w:tcW w:w="1134" w:type="dxa"/>
            <w:gridSpan w:val="2"/>
            <w:shd w:val="clear" w:color="000000" w:fill="FFFFFF"/>
            <w:vAlign w:val="center"/>
          </w:tcPr>
          <w:p w14:paraId="7824BA53" w14:textId="62DEA29B" w:rsidR="009D1E41" w:rsidRPr="00537D6C" w:rsidRDefault="00203988" w:rsidP="009D1E41">
            <w:pPr>
              <w:jc w:val="center"/>
              <w:rPr>
                <w:rFonts w:ascii="Arial" w:hAnsi="Arial" w:cs="Arial"/>
                <w:b/>
                <w:szCs w:val="18"/>
              </w:rPr>
            </w:pPr>
            <w:r>
              <w:rPr>
                <w:rFonts w:ascii="Arial" w:hAnsi="Arial" w:cs="Arial"/>
                <w:b/>
                <w:szCs w:val="18"/>
              </w:rPr>
              <w:t>45</w:t>
            </w:r>
            <w:r w:rsidR="008F52B9">
              <w:rPr>
                <w:rFonts w:ascii="Arial" w:hAnsi="Arial" w:cs="Arial"/>
                <w:b/>
                <w:szCs w:val="18"/>
              </w:rPr>
              <w:t xml:space="preserve"> / 114</w:t>
            </w:r>
          </w:p>
        </w:tc>
        <w:tc>
          <w:tcPr>
            <w:tcW w:w="8929" w:type="dxa"/>
            <w:shd w:val="clear" w:color="000000" w:fill="FFFFFF"/>
            <w:vAlign w:val="center"/>
          </w:tcPr>
          <w:p w14:paraId="340CECA0" w14:textId="77777777" w:rsidR="009D1E41" w:rsidRDefault="00760CC3" w:rsidP="009D1E41">
            <w:pPr>
              <w:jc w:val="both"/>
              <w:rPr>
                <w:rFonts w:ascii="Arial" w:hAnsi="Arial" w:cs="Arial"/>
                <w:szCs w:val="18"/>
              </w:rPr>
            </w:pPr>
            <w:r>
              <w:rPr>
                <w:rFonts w:ascii="Arial" w:hAnsi="Arial" w:cs="Arial"/>
                <w:szCs w:val="18"/>
              </w:rPr>
              <w:t>1. El número total de controles establecidos en la NCh-ISO 27001 para mitigar riesgos de seguridad de la información, corresponde a los 114 controles que establece dicha norma en su anexo A, páginas 13 a 27.</w:t>
            </w:r>
          </w:p>
          <w:p w14:paraId="6EDE944F" w14:textId="77777777" w:rsidR="00760CC3" w:rsidRDefault="00760CC3" w:rsidP="009D1E41">
            <w:pPr>
              <w:jc w:val="both"/>
              <w:rPr>
                <w:rFonts w:ascii="Arial" w:hAnsi="Arial" w:cs="Arial"/>
                <w:szCs w:val="18"/>
              </w:rPr>
            </w:pPr>
            <w:r>
              <w:rPr>
                <w:rFonts w:ascii="Arial" w:hAnsi="Arial" w:cs="Arial"/>
                <w:szCs w:val="18"/>
              </w:rPr>
              <w:t>2. Un riesgo de seguridad de la información corresponde a una amenaza potencial que podría afectar activos de información vinculados a los procesos de provisión de Productos Estratégicos (bienes y servicios) establecidos en las definiciones estratégicas institucionales (Formulario A1 del Presupuesto) y, por tanto, causar daño a la organización.</w:t>
            </w:r>
          </w:p>
          <w:p w14:paraId="6BEC80E6" w14:textId="77777777" w:rsidR="00760CC3" w:rsidRDefault="00760CC3" w:rsidP="009D1E41">
            <w:pPr>
              <w:jc w:val="both"/>
              <w:rPr>
                <w:rFonts w:ascii="Arial" w:hAnsi="Arial" w:cs="Arial"/>
                <w:szCs w:val="18"/>
              </w:rPr>
            </w:pPr>
            <w:r>
              <w:rPr>
                <w:rFonts w:ascii="Arial" w:hAnsi="Arial" w:cs="Arial"/>
                <w:szCs w:val="18"/>
              </w:rPr>
              <w:t>3. El número de controles de seguridad de la NCh-ISO 27001 implementados para mitigar riesgos de seguridad de la información al año t, incluye aquellos controles que cumplen con las siguientes condiciones copulativas:</w:t>
            </w:r>
          </w:p>
          <w:p w14:paraId="6B19EE77" w14:textId="77777777" w:rsidR="00760CC3" w:rsidRDefault="00760CC3" w:rsidP="009D1E41">
            <w:pPr>
              <w:jc w:val="both"/>
              <w:rPr>
                <w:rFonts w:ascii="Arial" w:hAnsi="Arial" w:cs="Arial"/>
                <w:szCs w:val="18"/>
              </w:rPr>
            </w:pPr>
            <w:r>
              <w:rPr>
                <w:rFonts w:ascii="Arial" w:hAnsi="Arial" w:cs="Arial"/>
                <w:szCs w:val="18"/>
              </w:rPr>
              <w:t xml:space="preserve"> a. Están documentados al año t</w:t>
            </w:r>
          </w:p>
          <w:p w14:paraId="5CDE2F42" w14:textId="77777777" w:rsidR="00760CC3" w:rsidRDefault="00760CC3" w:rsidP="009D1E41">
            <w:pPr>
              <w:jc w:val="both"/>
              <w:rPr>
                <w:rFonts w:ascii="Arial" w:hAnsi="Arial" w:cs="Arial"/>
                <w:szCs w:val="18"/>
              </w:rPr>
            </w:pPr>
            <w:r>
              <w:rPr>
                <w:rFonts w:ascii="Arial" w:hAnsi="Arial" w:cs="Arial"/>
                <w:szCs w:val="18"/>
              </w:rPr>
              <w:t xml:space="preserve"> b. Existen registros de su operación en el año t</w:t>
            </w:r>
          </w:p>
          <w:p w14:paraId="52C7E3B2" w14:textId="77777777" w:rsidR="00760CC3" w:rsidRDefault="00760CC3" w:rsidP="009D1E41">
            <w:pPr>
              <w:jc w:val="both"/>
              <w:rPr>
                <w:rFonts w:ascii="Arial" w:hAnsi="Arial" w:cs="Arial"/>
                <w:szCs w:val="18"/>
              </w:rPr>
            </w:pPr>
            <w:r>
              <w:rPr>
                <w:rFonts w:ascii="Arial" w:hAnsi="Arial" w:cs="Arial"/>
                <w:szCs w:val="18"/>
              </w:rPr>
              <w:t xml:space="preserve"> c. Ambas condiciones demostrables a través de sus medios de verificación.</w:t>
            </w:r>
          </w:p>
          <w:p w14:paraId="59771302" w14:textId="77777777" w:rsidR="00760CC3" w:rsidRDefault="00760CC3" w:rsidP="009D1E41">
            <w:pPr>
              <w:jc w:val="both"/>
              <w:rPr>
                <w:rFonts w:ascii="Arial" w:hAnsi="Arial" w:cs="Arial"/>
                <w:szCs w:val="18"/>
              </w:rPr>
            </w:pPr>
            <w:r>
              <w:rPr>
                <w:rFonts w:ascii="Arial" w:hAnsi="Arial" w:cs="Arial"/>
                <w:szCs w:val="18"/>
              </w:rPr>
              <w:t>4. Para el tratamiento de riesgos de seguridad de la información, se deben seleccionar los controles establecidos en el Anexo Normativo de la NCh-ISO 27001 vigente, ya que constituyen el conjunto de medidas que permiten mitigar los riesgos diagnosticados.</w:t>
            </w:r>
          </w:p>
          <w:p w14:paraId="48210A6B" w14:textId="77777777" w:rsidR="00760CC3" w:rsidRDefault="00760CC3" w:rsidP="009D1E41">
            <w:pPr>
              <w:jc w:val="both"/>
              <w:rPr>
                <w:rFonts w:ascii="Arial" w:hAnsi="Arial" w:cs="Arial"/>
                <w:szCs w:val="18"/>
              </w:rPr>
            </w:pPr>
            <w:r>
              <w:rPr>
                <w:rFonts w:ascii="Arial" w:hAnsi="Arial" w:cs="Arial"/>
                <w:szCs w:val="18"/>
              </w:rPr>
              <w:t>5. Los controles a implementar al año t, deberán ser revisados y contar con la opinión técnica de la Red de Expertos en el año t-1, atendiendo los siguientes criterios:</w:t>
            </w:r>
          </w:p>
          <w:p w14:paraId="36998AC8" w14:textId="77777777" w:rsidR="00760CC3" w:rsidRDefault="00447837" w:rsidP="009D1E41">
            <w:pPr>
              <w:jc w:val="both"/>
              <w:rPr>
                <w:rFonts w:ascii="Arial" w:hAnsi="Arial" w:cs="Arial"/>
                <w:szCs w:val="18"/>
              </w:rPr>
            </w:pPr>
            <w:r>
              <w:rPr>
                <w:rFonts w:ascii="Arial" w:hAnsi="Arial" w:cs="Arial"/>
                <w:szCs w:val="18"/>
              </w:rPr>
              <w:t xml:space="preserve"> a. Si la institución pertenece a la infraestructura crítica del país.</w:t>
            </w:r>
          </w:p>
          <w:p w14:paraId="3B6DE150" w14:textId="77777777" w:rsidR="00447837" w:rsidRDefault="00447837" w:rsidP="009D1E41">
            <w:pPr>
              <w:jc w:val="both"/>
              <w:rPr>
                <w:rFonts w:ascii="Arial" w:hAnsi="Arial" w:cs="Arial"/>
                <w:szCs w:val="18"/>
              </w:rPr>
            </w:pPr>
            <w:r>
              <w:rPr>
                <w:rFonts w:ascii="Arial" w:hAnsi="Arial" w:cs="Arial"/>
                <w:szCs w:val="18"/>
              </w:rPr>
              <w:t xml:space="preserve"> b. Respuesta a Emergencias.</w:t>
            </w:r>
          </w:p>
          <w:p w14:paraId="01699EEC" w14:textId="77777777" w:rsidR="00447837" w:rsidRDefault="00447837" w:rsidP="009D1E41">
            <w:pPr>
              <w:jc w:val="both"/>
              <w:rPr>
                <w:rFonts w:ascii="Arial" w:hAnsi="Arial" w:cs="Arial"/>
                <w:szCs w:val="18"/>
              </w:rPr>
            </w:pPr>
            <w:r>
              <w:rPr>
                <w:rFonts w:ascii="Arial" w:hAnsi="Arial" w:cs="Arial"/>
                <w:szCs w:val="18"/>
              </w:rPr>
              <w:t xml:space="preserve"> c. Servicios a la ciudadanía.</w:t>
            </w:r>
          </w:p>
          <w:p w14:paraId="4C026394" w14:textId="77777777" w:rsidR="00447837" w:rsidRDefault="00447837" w:rsidP="009D1E41">
            <w:pPr>
              <w:jc w:val="both"/>
              <w:rPr>
                <w:rFonts w:ascii="Arial" w:hAnsi="Arial" w:cs="Arial"/>
                <w:szCs w:val="18"/>
              </w:rPr>
            </w:pPr>
            <w:r>
              <w:rPr>
                <w:rFonts w:ascii="Arial" w:hAnsi="Arial" w:cs="Arial"/>
                <w:szCs w:val="18"/>
              </w:rPr>
              <w:t xml:space="preserve"> d. Fiscalizadores.</w:t>
            </w:r>
          </w:p>
          <w:p w14:paraId="12B3062D" w14:textId="77777777" w:rsidR="00447837" w:rsidRDefault="00447837" w:rsidP="009D1E41">
            <w:pPr>
              <w:jc w:val="both"/>
              <w:rPr>
                <w:rFonts w:ascii="Arial" w:hAnsi="Arial" w:cs="Arial"/>
                <w:szCs w:val="18"/>
              </w:rPr>
            </w:pPr>
            <w:r>
              <w:rPr>
                <w:rFonts w:ascii="Arial" w:hAnsi="Arial" w:cs="Arial"/>
                <w:szCs w:val="18"/>
              </w:rPr>
              <w:t xml:space="preserve"> e. Manejo de grandes volúmenes de datos sensibles.</w:t>
            </w:r>
          </w:p>
          <w:p w14:paraId="7900B061" w14:textId="77777777" w:rsidR="00760CC3" w:rsidRPr="007D007C" w:rsidRDefault="0070093C" w:rsidP="00742DCC">
            <w:pPr>
              <w:jc w:val="both"/>
              <w:rPr>
                <w:rFonts w:ascii="Arial" w:hAnsi="Arial" w:cs="Arial"/>
                <w:szCs w:val="18"/>
              </w:rPr>
            </w:pPr>
            <w:r>
              <w:rPr>
                <w:rFonts w:ascii="Arial" w:hAnsi="Arial" w:cs="Arial"/>
                <w:szCs w:val="18"/>
              </w:rPr>
              <w:t>6. Un control de seguridad no implementado deberá contar con la información de las razones de dicho incumplimiento</w:t>
            </w:r>
            <w:r w:rsidR="00742DCC">
              <w:rPr>
                <w:rFonts w:ascii="Arial" w:hAnsi="Arial" w:cs="Arial"/>
                <w:szCs w:val="18"/>
              </w:rPr>
              <w:t xml:space="preserve"> señalando las causas. Sean estas externas o internas a la gestión del Servicio.</w:t>
            </w:r>
            <w:r w:rsidR="00760CC3">
              <w:rPr>
                <w:rFonts w:ascii="Arial" w:hAnsi="Arial" w:cs="Arial"/>
                <w:szCs w:val="18"/>
              </w:rPr>
              <w:t xml:space="preserve"> </w:t>
            </w:r>
          </w:p>
        </w:tc>
      </w:tr>
      <w:tr w:rsidR="009D1E41" w:rsidRPr="00007E1F" w14:paraId="0785ABC4" w14:textId="77777777" w:rsidTr="00FF1EE9">
        <w:trPr>
          <w:cantSplit/>
          <w:trHeight w:val="1115"/>
          <w:jc w:val="center"/>
        </w:trPr>
        <w:tc>
          <w:tcPr>
            <w:tcW w:w="568" w:type="dxa"/>
            <w:shd w:val="clear" w:color="000000" w:fill="FFFFFF"/>
            <w:vAlign w:val="center"/>
          </w:tcPr>
          <w:p w14:paraId="5D873A74" w14:textId="77777777" w:rsidR="009D1E41" w:rsidRDefault="009D1E41" w:rsidP="009D1E41">
            <w:pPr>
              <w:jc w:val="center"/>
              <w:rPr>
                <w:rFonts w:ascii="Arial" w:hAnsi="Arial" w:cs="Arial"/>
                <w:b/>
                <w:sz w:val="22"/>
                <w:szCs w:val="18"/>
              </w:rPr>
            </w:pPr>
            <w:r>
              <w:rPr>
                <w:rFonts w:ascii="Arial" w:hAnsi="Arial" w:cs="Arial"/>
                <w:b/>
                <w:sz w:val="22"/>
                <w:szCs w:val="18"/>
              </w:rPr>
              <w:lastRenderedPageBreak/>
              <w:t>5</w:t>
            </w:r>
          </w:p>
        </w:tc>
        <w:tc>
          <w:tcPr>
            <w:tcW w:w="1832" w:type="dxa"/>
            <w:shd w:val="clear" w:color="000000" w:fill="FFFFFF"/>
            <w:vAlign w:val="center"/>
          </w:tcPr>
          <w:p w14:paraId="27DA4F68" w14:textId="77777777" w:rsidR="009D1E41" w:rsidRPr="006C3B59" w:rsidRDefault="00742DCC" w:rsidP="009D1E41">
            <w:pPr>
              <w:shd w:val="clear" w:color="auto" w:fill="FFFFFF" w:themeFill="background1"/>
              <w:jc w:val="both"/>
              <w:rPr>
                <w:rFonts w:ascii="Arial" w:hAnsi="Arial" w:cs="Arial"/>
                <w:szCs w:val="18"/>
              </w:rPr>
            </w:pPr>
            <w:r>
              <w:rPr>
                <w:rFonts w:ascii="Arial" w:hAnsi="Arial" w:cs="Arial"/>
                <w:szCs w:val="18"/>
              </w:rPr>
              <w:t>Porcentaje de solicitudes de acceso a la información pública respondidas en un plazo menor o igual a 15 días hábiles en el año t</w:t>
            </w:r>
          </w:p>
        </w:tc>
        <w:tc>
          <w:tcPr>
            <w:tcW w:w="1984" w:type="dxa"/>
            <w:shd w:val="clear" w:color="000000" w:fill="FFFFFF"/>
            <w:vAlign w:val="center"/>
          </w:tcPr>
          <w:p w14:paraId="7D250565" w14:textId="77777777" w:rsidR="009D1E41" w:rsidRPr="006C3B59" w:rsidRDefault="00D01187" w:rsidP="009D1E41">
            <w:pPr>
              <w:shd w:val="clear" w:color="auto" w:fill="FFFFFF" w:themeFill="background1"/>
              <w:jc w:val="both"/>
              <w:rPr>
                <w:rFonts w:ascii="Arial" w:hAnsi="Arial" w:cs="Arial"/>
                <w:szCs w:val="18"/>
              </w:rPr>
            </w:pPr>
            <w:r>
              <w:rPr>
                <w:rFonts w:ascii="Arial" w:hAnsi="Arial" w:cs="Arial"/>
                <w:szCs w:val="18"/>
              </w:rPr>
              <w:t>(N° de solicitudes de acceso a la información pública respondidas en un plazo menor o igual a 15 días hábiles en año t / N° de solicitudes de acceso a la información pública respondidas en año t) * 100</w:t>
            </w:r>
          </w:p>
        </w:tc>
        <w:tc>
          <w:tcPr>
            <w:tcW w:w="1276" w:type="dxa"/>
            <w:shd w:val="clear" w:color="000000" w:fill="FFFFFF"/>
            <w:vAlign w:val="center"/>
          </w:tcPr>
          <w:p w14:paraId="104CF1E0" w14:textId="77777777" w:rsidR="009D1E41" w:rsidRPr="007D007C" w:rsidRDefault="00D01187" w:rsidP="009D1E41">
            <w:pPr>
              <w:jc w:val="center"/>
              <w:rPr>
                <w:rFonts w:ascii="Arial" w:hAnsi="Arial" w:cs="Arial"/>
                <w:color w:val="000000"/>
                <w:szCs w:val="16"/>
              </w:rPr>
            </w:pPr>
            <w:r>
              <w:rPr>
                <w:rFonts w:ascii="Arial" w:hAnsi="Arial" w:cs="Arial"/>
                <w:color w:val="000000"/>
                <w:szCs w:val="16"/>
              </w:rPr>
              <w:t>N/A</w:t>
            </w:r>
          </w:p>
        </w:tc>
        <w:tc>
          <w:tcPr>
            <w:tcW w:w="851" w:type="dxa"/>
            <w:shd w:val="clear" w:color="auto" w:fill="FFFFFF"/>
            <w:vAlign w:val="center"/>
          </w:tcPr>
          <w:p w14:paraId="72E7CD5A" w14:textId="77777777" w:rsidR="009D1E41" w:rsidRPr="007D007C" w:rsidRDefault="00D01187"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41BDF1A0" w14:textId="77777777" w:rsidR="009D1E41" w:rsidRPr="007D007C" w:rsidRDefault="00967F91" w:rsidP="009D1E4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2EEB71C0" w14:textId="45766D45" w:rsidR="009D1E41" w:rsidRPr="00E6356A" w:rsidRDefault="00203988" w:rsidP="009D1E41">
            <w:pPr>
              <w:jc w:val="center"/>
              <w:rPr>
                <w:rFonts w:ascii="Arial" w:hAnsi="Arial" w:cs="Arial"/>
                <w:b/>
                <w:szCs w:val="18"/>
              </w:rPr>
            </w:pPr>
            <w:r>
              <w:rPr>
                <w:rFonts w:ascii="Arial" w:hAnsi="Arial" w:cs="Arial"/>
                <w:b/>
                <w:szCs w:val="18"/>
              </w:rPr>
              <w:t>34</w:t>
            </w:r>
            <w:r w:rsidR="00967F91">
              <w:rPr>
                <w:rFonts w:ascii="Arial" w:hAnsi="Arial" w:cs="Arial"/>
                <w:b/>
                <w:szCs w:val="18"/>
              </w:rPr>
              <w:t>%</w:t>
            </w:r>
          </w:p>
        </w:tc>
        <w:tc>
          <w:tcPr>
            <w:tcW w:w="1134" w:type="dxa"/>
            <w:gridSpan w:val="2"/>
            <w:shd w:val="clear" w:color="000000" w:fill="FFFFFF"/>
            <w:vAlign w:val="center"/>
          </w:tcPr>
          <w:p w14:paraId="19779870" w14:textId="7BC2B8F5" w:rsidR="009D1E41" w:rsidRPr="00E6356A" w:rsidRDefault="00967F91" w:rsidP="009D1E41">
            <w:pPr>
              <w:jc w:val="center"/>
              <w:rPr>
                <w:rFonts w:ascii="Arial" w:hAnsi="Arial" w:cs="Arial"/>
                <w:b/>
                <w:szCs w:val="18"/>
              </w:rPr>
            </w:pPr>
            <w:r>
              <w:rPr>
                <w:rFonts w:ascii="Arial" w:hAnsi="Arial" w:cs="Arial"/>
                <w:b/>
                <w:szCs w:val="18"/>
              </w:rPr>
              <w:t>1</w:t>
            </w:r>
            <w:r w:rsidR="00203988">
              <w:rPr>
                <w:rFonts w:ascii="Arial" w:hAnsi="Arial" w:cs="Arial"/>
                <w:b/>
                <w:szCs w:val="18"/>
              </w:rPr>
              <w:t>50</w:t>
            </w:r>
            <w:r>
              <w:rPr>
                <w:rFonts w:ascii="Arial" w:hAnsi="Arial" w:cs="Arial"/>
                <w:b/>
                <w:szCs w:val="18"/>
              </w:rPr>
              <w:t xml:space="preserve"> / </w:t>
            </w:r>
            <w:r w:rsidR="00203988">
              <w:rPr>
                <w:rFonts w:ascii="Arial" w:hAnsi="Arial" w:cs="Arial"/>
                <w:b/>
                <w:szCs w:val="18"/>
              </w:rPr>
              <w:t>441</w:t>
            </w:r>
          </w:p>
        </w:tc>
        <w:tc>
          <w:tcPr>
            <w:tcW w:w="8929" w:type="dxa"/>
            <w:shd w:val="clear" w:color="000000" w:fill="FFFFFF"/>
            <w:vAlign w:val="center"/>
          </w:tcPr>
          <w:p w14:paraId="1C1FB152" w14:textId="77777777" w:rsidR="009D1E41" w:rsidRDefault="00967F91" w:rsidP="009D1E41">
            <w:pPr>
              <w:shd w:val="clear" w:color="auto" w:fill="FFFFFF" w:themeFill="background1"/>
              <w:jc w:val="both"/>
              <w:rPr>
                <w:rFonts w:ascii="Arial" w:hAnsi="Arial" w:cs="Arial"/>
                <w:bCs/>
                <w:szCs w:val="18"/>
              </w:rPr>
            </w:pPr>
            <w:r>
              <w:rPr>
                <w:rFonts w:ascii="Arial" w:hAnsi="Arial" w:cs="Arial"/>
                <w:bCs/>
                <w:szCs w:val="18"/>
              </w:rPr>
              <w:t>1. Las solicitudes de acceso a información pública respondidas corresponden a aquellas finalizadas en el 1 de enero y el 31 de diciembre del año t (sin perjuicio de que hayan sido ingresadas el año anterior).</w:t>
            </w:r>
          </w:p>
          <w:p w14:paraId="06E245D9" w14:textId="77777777" w:rsidR="00967F91" w:rsidRDefault="00967F91" w:rsidP="009D1E41">
            <w:pPr>
              <w:shd w:val="clear" w:color="auto" w:fill="FFFFFF" w:themeFill="background1"/>
              <w:jc w:val="both"/>
              <w:rPr>
                <w:rFonts w:ascii="Arial" w:hAnsi="Arial" w:cs="Arial"/>
                <w:bCs/>
                <w:szCs w:val="18"/>
              </w:rPr>
            </w:pPr>
            <w:r>
              <w:rPr>
                <w:rFonts w:ascii="Arial" w:hAnsi="Arial" w:cs="Arial"/>
                <w:bCs/>
                <w:szCs w:val="18"/>
              </w:rPr>
              <w:t>2. Las solicitudes de acceso a información pública respondidas corresponden a todas las categorías de finalizadas, incluida la categoría ‘Derivadas e Información permanentemente disponible en la web’, inclusive aquellas que por su naturaleza fueron respondidas en plazo prorrogado, de acuerdo a lo establecido en la Ley N° 20.285. Excluye a las solicitudes que no cumplen con los requisitos de admisibilidad establecidos en la Ley de Transparencia; es decir, Finalizada: No corresponde a solicitud de transparencia, solicitudes anuladas o de prueba.</w:t>
            </w:r>
          </w:p>
          <w:p w14:paraId="319E4C02" w14:textId="77777777" w:rsidR="00967F91" w:rsidRDefault="00967F91" w:rsidP="009D1E41">
            <w:pPr>
              <w:shd w:val="clear" w:color="auto" w:fill="FFFFFF" w:themeFill="background1"/>
              <w:jc w:val="both"/>
              <w:rPr>
                <w:rFonts w:ascii="Arial" w:hAnsi="Arial" w:cs="Arial"/>
                <w:bCs/>
                <w:szCs w:val="18"/>
              </w:rPr>
            </w:pPr>
            <w:r>
              <w:rPr>
                <w:rFonts w:ascii="Arial" w:hAnsi="Arial" w:cs="Arial"/>
                <w:bCs/>
                <w:szCs w:val="18"/>
              </w:rPr>
              <w:t xml:space="preserve">3. Las solicitudes categorizadas como ‘No son solicitudes de acceso a la información pública (NO SAIP), no se consideran en el indicador por no corresponder a solicitudes de acceso a la </w:t>
            </w:r>
            <w:r w:rsidR="00366FA9">
              <w:rPr>
                <w:rFonts w:ascii="Arial" w:hAnsi="Arial" w:cs="Arial"/>
                <w:bCs/>
                <w:szCs w:val="18"/>
              </w:rPr>
              <w:t>información</w:t>
            </w:r>
            <w:r>
              <w:rPr>
                <w:rFonts w:ascii="Arial" w:hAnsi="Arial" w:cs="Arial"/>
                <w:bCs/>
                <w:szCs w:val="18"/>
              </w:rPr>
              <w:t xml:space="preserve"> pública</w:t>
            </w:r>
            <w:r w:rsidR="00366FA9">
              <w:rPr>
                <w:rFonts w:ascii="Arial" w:hAnsi="Arial" w:cs="Arial"/>
                <w:bCs/>
                <w:szCs w:val="18"/>
              </w:rPr>
              <w:t xml:space="preserve">, tales como ‘denuncias referidas a un hecho que cause perjuicio’, ‘pronunciamiento sobre una situación en particular’, ‘reconsideración de una medida adoptada’, ‘solicitud de audiencia con la autoridad del Servicio’, ‘reclamos presentados en una institución fiscalizadora’ </w:t>
            </w:r>
            <w:r w:rsidR="00366FA9" w:rsidRPr="00366FA9">
              <w:rPr>
                <w:rFonts w:ascii="Arial" w:hAnsi="Arial" w:cs="Arial"/>
                <w:b/>
                <w:bCs/>
                <w:szCs w:val="18"/>
                <w:u w:val="single"/>
              </w:rPr>
              <w:t>pudiendo</w:t>
            </w:r>
            <w:r w:rsidR="00366FA9">
              <w:rPr>
                <w:rFonts w:ascii="Arial" w:hAnsi="Arial" w:cs="Arial"/>
                <w:bCs/>
                <w:szCs w:val="18"/>
              </w:rPr>
              <w:t xml:space="preserve"> ser consideradas como ‘ingresadas’, </w:t>
            </w:r>
            <w:r w:rsidR="00366FA9" w:rsidRPr="00366FA9">
              <w:rPr>
                <w:rFonts w:ascii="Arial" w:hAnsi="Arial" w:cs="Arial"/>
                <w:b/>
                <w:bCs/>
                <w:szCs w:val="18"/>
                <w:u w:val="single"/>
              </w:rPr>
              <w:t>pero no</w:t>
            </w:r>
            <w:r w:rsidR="00366FA9">
              <w:rPr>
                <w:rFonts w:ascii="Arial" w:hAnsi="Arial" w:cs="Arial"/>
                <w:bCs/>
                <w:szCs w:val="18"/>
              </w:rPr>
              <w:t xml:space="preserve"> como ‘finalizadas’, ni como ‘finalizada que cumple con el indicador’.</w:t>
            </w:r>
          </w:p>
          <w:p w14:paraId="20D6A8B8" w14:textId="77777777" w:rsidR="00366FA9" w:rsidRDefault="00366FA9" w:rsidP="009D1E41">
            <w:pPr>
              <w:shd w:val="clear" w:color="auto" w:fill="FFFFFF" w:themeFill="background1"/>
              <w:jc w:val="both"/>
              <w:rPr>
                <w:rFonts w:ascii="Arial" w:hAnsi="Arial" w:cs="Arial"/>
                <w:bCs/>
                <w:szCs w:val="18"/>
              </w:rPr>
            </w:pPr>
            <w:r>
              <w:rPr>
                <w:rFonts w:ascii="Arial" w:hAnsi="Arial" w:cs="Arial"/>
                <w:bCs/>
                <w:szCs w:val="18"/>
              </w:rPr>
              <w:t>4. Respecto al conteo de los días de las solicitudes, el artículo 25 de la Ley N° 19.880, sobre Procedimiento Administrativo señala lo siguiente:</w:t>
            </w:r>
          </w:p>
          <w:p w14:paraId="661352F7" w14:textId="77777777" w:rsidR="00366FA9" w:rsidRDefault="006C27E5" w:rsidP="009D1E41">
            <w:pPr>
              <w:shd w:val="clear" w:color="auto" w:fill="FFFFFF" w:themeFill="background1"/>
              <w:jc w:val="both"/>
              <w:rPr>
                <w:rFonts w:ascii="Arial" w:hAnsi="Arial" w:cs="Arial"/>
                <w:bCs/>
                <w:szCs w:val="18"/>
              </w:rPr>
            </w:pPr>
            <w:r>
              <w:rPr>
                <w:rFonts w:ascii="Arial" w:hAnsi="Arial" w:cs="Arial"/>
                <w:bCs/>
                <w:szCs w:val="18"/>
              </w:rPr>
              <w:t>- “</w:t>
            </w:r>
            <w:r w:rsidR="00366FA9">
              <w:rPr>
                <w:rFonts w:ascii="Arial" w:hAnsi="Arial" w:cs="Arial"/>
                <w:bCs/>
                <w:szCs w:val="18"/>
              </w:rPr>
              <w:t>Computo de los plazos del procedimiento administrativo. Los plazos de días establecidos en esta ley son de días hábiles, entendiéndose que son inhábiles los días sábado, domingo y festivos.</w:t>
            </w:r>
          </w:p>
          <w:p w14:paraId="0E62A972" w14:textId="77777777" w:rsidR="00366FA9" w:rsidRDefault="00366FA9" w:rsidP="009D1E41">
            <w:pPr>
              <w:shd w:val="clear" w:color="auto" w:fill="FFFFFF" w:themeFill="background1"/>
              <w:jc w:val="both"/>
              <w:rPr>
                <w:rFonts w:ascii="Arial" w:hAnsi="Arial" w:cs="Arial"/>
                <w:bCs/>
                <w:szCs w:val="18"/>
              </w:rPr>
            </w:pPr>
            <w:r>
              <w:rPr>
                <w:rFonts w:ascii="Arial" w:hAnsi="Arial" w:cs="Arial"/>
                <w:bCs/>
                <w:szCs w:val="18"/>
              </w:rPr>
              <w:t>- Los plazos se computarán desde el día siguiente a aquél en que se notifique o publique el acto</w:t>
            </w:r>
            <w:r w:rsidR="006C27E5">
              <w:rPr>
                <w:rFonts w:ascii="Arial" w:hAnsi="Arial" w:cs="Arial"/>
                <w:bCs/>
                <w:szCs w:val="18"/>
              </w:rPr>
              <w:t xml:space="preserve"> de que se trate o se produzca su estimación o su desestimación en virtud del silencio administrativo.</w:t>
            </w:r>
          </w:p>
          <w:p w14:paraId="7A0B3A79" w14:textId="77777777" w:rsidR="006C27E5" w:rsidRDefault="006C27E5" w:rsidP="009D1E41">
            <w:pPr>
              <w:shd w:val="clear" w:color="auto" w:fill="FFFFFF" w:themeFill="background1"/>
              <w:jc w:val="both"/>
              <w:rPr>
                <w:rFonts w:ascii="Arial" w:hAnsi="Arial" w:cs="Arial"/>
                <w:bCs/>
                <w:szCs w:val="18"/>
              </w:rPr>
            </w:pPr>
            <w:r>
              <w:rPr>
                <w:rFonts w:ascii="Arial" w:hAnsi="Arial" w:cs="Arial"/>
                <w:bCs/>
                <w:szCs w:val="18"/>
              </w:rPr>
              <w:t>- Si en el mes de vencimiento no hubiere equivalente al día del mes en que comienza el cómputo, se entenderá que el plazo expira el último día hábil de aquel mes.</w:t>
            </w:r>
          </w:p>
          <w:p w14:paraId="1BCF3FC7" w14:textId="77777777" w:rsidR="006C27E5" w:rsidRDefault="006C27E5" w:rsidP="009D1E41">
            <w:pPr>
              <w:shd w:val="clear" w:color="auto" w:fill="FFFFFF" w:themeFill="background1"/>
              <w:jc w:val="both"/>
              <w:rPr>
                <w:rFonts w:ascii="Arial" w:hAnsi="Arial" w:cs="Arial"/>
                <w:bCs/>
                <w:szCs w:val="18"/>
              </w:rPr>
            </w:pPr>
            <w:r>
              <w:rPr>
                <w:rFonts w:ascii="Arial" w:hAnsi="Arial" w:cs="Arial"/>
                <w:bCs/>
                <w:szCs w:val="18"/>
              </w:rPr>
              <w:t>- Cuando el último día del plazo sea inhábil, éste se entenderá prorrogado l primer día hábil siguiente”.</w:t>
            </w:r>
          </w:p>
          <w:p w14:paraId="78CE66AB" w14:textId="77777777" w:rsidR="006C27E5" w:rsidRDefault="006C27E5" w:rsidP="009D1E41">
            <w:pPr>
              <w:shd w:val="clear" w:color="auto" w:fill="FFFFFF" w:themeFill="background1"/>
              <w:jc w:val="both"/>
              <w:rPr>
                <w:rFonts w:ascii="Arial" w:hAnsi="Arial" w:cs="Arial"/>
                <w:bCs/>
                <w:szCs w:val="18"/>
              </w:rPr>
            </w:pPr>
            <w:r>
              <w:rPr>
                <w:rFonts w:ascii="Arial" w:hAnsi="Arial" w:cs="Arial"/>
                <w:bCs/>
                <w:szCs w:val="18"/>
              </w:rPr>
              <w:t>5. Las instituciones deberán utilizar el Portal ‘Transparencia Chile’, donde se registrarán automáticamente las operaciones, generando el reporte en la sección habilitada para PMG Transparencia. De esta forma, el medio de verificación será el archivo exportable.</w:t>
            </w:r>
          </w:p>
          <w:p w14:paraId="2145A2DD" w14:textId="77777777" w:rsidR="006C27E5" w:rsidRPr="006C3B59" w:rsidRDefault="006C27E5" w:rsidP="007D0CF3">
            <w:pPr>
              <w:shd w:val="clear" w:color="auto" w:fill="FFFFFF" w:themeFill="background1"/>
              <w:jc w:val="both"/>
              <w:rPr>
                <w:rFonts w:ascii="Arial" w:hAnsi="Arial" w:cs="Arial"/>
                <w:bCs/>
                <w:szCs w:val="18"/>
              </w:rPr>
            </w:pPr>
            <w:r>
              <w:rPr>
                <w:rFonts w:ascii="Arial" w:hAnsi="Arial" w:cs="Arial"/>
                <w:bCs/>
                <w:szCs w:val="18"/>
              </w:rPr>
              <w:t xml:space="preserve">6. </w:t>
            </w:r>
            <w:r w:rsidR="007D0CF3">
              <w:rPr>
                <w:rFonts w:ascii="Arial" w:hAnsi="Arial" w:cs="Arial"/>
                <w:bCs/>
                <w:szCs w:val="18"/>
              </w:rPr>
              <w:t>Aquellos Servicios que utilicen sistema propio pero que se encuentren inter-operando con el Sistema Portal Transparencia Chile, utilizarán como medio de verificación planilla provista por la Red de Expertos.</w:t>
            </w:r>
          </w:p>
        </w:tc>
      </w:tr>
      <w:tr w:rsidR="009D1E41" w:rsidRPr="00007E1F" w14:paraId="4F5B6F41" w14:textId="77777777" w:rsidTr="00FF1EE9">
        <w:trPr>
          <w:cantSplit/>
          <w:trHeight w:val="1115"/>
          <w:jc w:val="center"/>
        </w:trPr>
        <w:tc>
          <w:tcPr>
            <w:tcW w:w="568" w:type="dxa"/>
            <w:shd w:val="clear" w:color="000000" w:fill="FFFFFF"/>
            <w:vAlign w:val="center"/>
          </w:tcPr>
          <w:p w14:paraId="2E1B2983" w14:textId="77777777" w:rsidR="009D1E41" w:rsidRDefault="009D1E41" w:rsidP="009D1E41">
            <w:pPr>
              <w:jc w:val="center"/>
              <w:rPr>
                <w:rFonts w:ascii="Arial" w:hAnsi="Arial" w:cs="Arial"/>
                <w:b/>
                <w:sz w:val="22"/>
                <w:szCs w:val="18"/>
              </w:rPr>
            </w:pPr>
            <w:r>
              <w:rPr>
                <w:rFonts w:ascii="Arial" w:hAnsi="Arial" w:cs="Arial"/>
                <w:b/>
                <w:sz w:val="22"/>
                <w:szCs w:val="18"/>
              </w:rPr>
              <w:lastRenderedPageBreak/>
              <w:t>6</w:t>
            </w:r>
          </w:p>
        </w:tc>
        <w:tc>
          <w:tcPr>
            <w:tcW w:w="1832" w:type="dxa"/>
            <w:shd w:val="clear" w:color="000000" w:fill="FFFFFF"/>
            <w:vAlign w:val="center"/>
          </w:tcPr>
          <w:p w14:paraId="63145FFA" w14:textId="77777777" w:rsidR="009D1E41" w:rsidRPr="006C3B59" w:rsidRDefault="006D3693" w:rsidP="009D1E41">
            <w:pPr>
              <w:shd w:val="clear" w:color="auto" w:fill="FFFFFF" w:themeFill="background1"/>
              <w:jc w:val="both"/>
              <w:rPr>
                <w:rFonts w:ascii="Arial" w:hAnsi="Arial" w:cs="Arial"/>
                <w:szCs w:val="18"/>
              </w:rPr>
            </w:pPr>
            <w:r>
              <w:rPr>
                <w:rFonts w:ascii="Arial" w:hAnsi="Arial" w:cs="Arial"/>
                <w:szCs w:val="18"/>
              </w:rPr>
              <w:t>Porcentaje de compromisos de Auditorías implementados en el año t</w:t>
            </w:r>
          </w:p>
        </w:tc>
        <w:tc>
          <w:tcPr>
            <w:tcW w:w="1984" w:type="dxa"/>
            <w:shd w:val="clear" w:color="000000" w:fill="FFFFFF"/>
            <w:vAlign w:val="center"/>
          </w:tcPr>
          <w:p w14:paraId="1FB2EE69" w14:textId="77777777" w:rsidR="009D1E41" w:rsidRPr="006C3B59" w:rsidRDefault="006D3693" w:rsidP="009D1E41">
            <w:pPr>
              <w:shd w:val="clear" w:color="auto" w:fill="FFFFFF" w:themeFill="background1"/>
              <w:jc w:val="both"/>
              <w:rPr>
                <w:rFonts w:ascii="Arial" w:hAnsi="Arial" w:cs="Arial"/>
                <w:szCs w:val="18"/>
              </w:rPr>
            </w:pPr>
            <w:r>
              <w:rPr>
                <w:rFonts w:ascii="Arial" w:hAnsi="Arial" w:cs="Arial"/>
                <w:szCs w:val="18"/>
              </w:rPr>
              <w:t>(N° de compromisos de auditoría pendientes de implementar al año t, que se encuentran implementados en año t / N° total de compromisos de auditorías realizadas al año t-1, pendientes de implementar en año t) * 100</w:t>
            </w:r>
          </w:p>
        </w:tc>
        <w:tc>
          <w:tcPr>
            <w:tcW w:w="1276" w:type="dxa"/>
            <w:shd w:val="clear" w:color="000000" w:fill="FFFFFF"/>
            <w:vAlign w:val="center"/>
          </w:tcPr>
          <w:p w14:paraId="2E70FDE6" w14:textId="77777777" w:rsidR="009D1E41" w:rsidRDefault="006D3693" w:rsidP="009D1E41">
            <w:pPr>
              <w:jc w:val="center"/>
              <w:rPr>
                <w:rFonts w:ascii="Arial" w:hAnsi="Arial" w:cs="Arial"/>
                <w:color w:val="000000"/>
                <w:szCs w:val="16"/>
              </w:rPr>
            </w:pPr>
            <w:r>
              <w:rPr>
                <w:rFonts w:ascii="Arial" w:hAnsi="Arial" w:cs="Arial"/>
                <w:color w:val="000000"/>
                <w:szCs w:val="16"/>
              </w:rPr>
              <w:t>N/A</w:t>
            </w:r>
          </w:p>
        </w:tc>
        <w:tc>
          <w:tcPr>
            <w:tcW w:w="851" w:type="dxa"/>
            <w:shd w:val="clear" w:color="auto" w:fill="FFFFFF"/>
            <w:vAlign w:val="center"/>
          </w:tcPr>
          <w:p w14:paraId="3FC92C88" w14:textId="77777777" w:rsidR="009D1E41" w:rsidRDefault="006D3693"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23BE3E4A" w14:textId="77777777" w:rsidR="009D1E41" w:rsidRDefault="006D3693" w:rsidP="009D1E4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54687167" w14:textId="57E7C2EE" w:rsidR="009D1E41" w:rsidRPr="00E6356A" w:rsidRDefault="00203988" w:rsidP="009D1E41">
            <w:pPr>
              <w:jc w:val="center"/>
              <w:rPr>
                <w:rFonts w:ascii="Arial" w:hAnsi="Arial" w:cs="Arial"/>
                <w:b/>
                <w:szCs w:val="18"/>
              </w:rPr>
            </w:pPr>
            <w:r>
              <w:rPr>
                <w:rFonts w:ascii="Arial" w:hAnsi="Arial" w:cs="Arial"/>
                <w:b/>
                <w:szCs w:val="18"/>
              </w:rPr>
              <w:t>9</w:t>
            </w:r>
            <w:r w:rsidR="006D3693">
              <w:rPr>
                <w:rFonts w:ascii="Arial" w:hAnsi="Arial" w:cs="Arial"/>
                <w:b/>
                <w:szCs w:val="18"/>
              </w:rPr>
              <w:t xml:space="preserve">% </w:t>
            </w:r>
          </w:p>
        </w:tc>
        <w:tc>
          <w:tcPr>
            <w:tcW w:w="1134" w:type="dxa"/>
            <w:gridSpan w:val="2"/>
            <w:shd w:val="clear" w:color="000000" w:fill="FFFFFF"/>
            <w:vAlign w:val="center"/>
          </w:tcPr>
          <w:p w14:paraId="45D35210" w14:textId="2639F352" w:rsidR="009D1E41" w:rsidRPr="00E6356A" w:rsidRDefault="00203988" w:rsidP="009D1E41">
            <w:pPr>
              <w:jc w:val="center"/>
              <w:rPr>
                <w:rFonts w:ascii="Arial" w:hAnsi="Arial" w:cs="Arial"/>
                <w:b/>
                <w:szCs w:val="18"/>
              </w:rPr>
            </w:pPr>
            <w:r>
              <w:rPr>
                <w:rFonts w:ascii="Arial" w:hAnsi="Arial" w:cs="Arial"/>
                <w:b/>
                <w:szCs w:val="18"/>
              </w:rPr>
              <w:t>5</w:t>
            </w:r>
            <w:r w:rsidR="006D3693">
              <w:rPr>
                <w:rFonts w:ascii="Arial" w:hAnsi="Arial" w:cs="Arial"/>
                <w:b/>
                <w:szCs w:val="18"/>
              </w:rPr>
              <w:t xml:space="preserve"> / </w:t>
            </w:r>
            <w:r>
              <w:rPr>
                <w:rFonts w:ascii="Arial" w:hAnsi="Arial" w:cs="Arial"/>
                <w:b/>
                <w:szCs w:val="18"/>
              </w:rPr>
              <w:t>58</w:t>
            </w:r>
          </w:p>
        </w:tc>
        <w:tc>
          <w:tcPr>
            <w:tcW w:w="8929" w:type="dxa"/>
            <w:shd w:val="clear" w:color="000000" w:fill="FFFFFF"/>
            <w:vAlign w:val="center"/>
          </w:tcPr>
          <w:p w14:paraId="56FFFAE4" w14:textId="77777777" w:rsidR="009D1E41" w:rsidRDefault="006D3693" w:rsidP="009D1E41">
            <w:pPr>
              <w:shd w:val="clear" w:color="auto" w:fill="FFFFFF" w:themeFill="background1"/>
              <w:jc w:val="both"/>
              <w:rPr>
                <w:rFonts w:ascii="Arial" w:hAnsi="Arial" w:cs="Arial"/>
                <w:bCs/>
                <w:szCs w:val="18"/>
              </w:rPr>
            </w:pPr>
            <w:r>
              <w:rPr>
                <w:rFonts w:ascii="Arial" w:hAnsi="Arial" w:cs="Arial"/>
                <w:bCs/>
                <w:szCs w:val="18"/>
              </w:rPr>
              <w:t xml:space="preserve">1. </w:t>
            </w:r>
            <w:r w:rsidRPr="006D3693">
              <w:rPr>
                <w:rFonts w:ascii="Arial" w:hAnsi="Arial" w:cs="Arial"/>
                <w:bCs/>
                <w:szCs w:val="18"/>
                <w:u w:val="single"/>
              </w:rPr>
              <w:t>Compromisos de auditoría</w:t>
            </w:r>
            <w:r>
              <w:rPr>
                <w:rFonts w:ascii="Arial" w:hAnsi="Arial" w:cs="Arial"/>
                <w:bCs/>
                <w:szCs w:val="18"/>
              </w:rPr>
              <w:t>: son acciones correctivas y/o preventivas derivadas de las recomendaciones de auditoría, y gestionadas por la Dirección para mitigar los riesgos.</w:t>
            </w:r>
          </w:p>
          <w:p w14:paraId="3548D6D1" w14:textId="77777777" w:rsidR="006D3693" w:rsidRDefault="006D3693" w:rsidP="009D1E41">
            <w:pPr>
              <w:shd w:val="clear" w:color="auto" w:fill="FFFFFF" w:themeFill="background1"/>
              <w:jc w:val="both"/>
              <w:rPr>
                <w:rFonts w:ascii="Arial" w:hAnsi="Arial" w:cs="Arial"/>
                <w:bCs/>
                <w:szCs w:val="18"/>
              </w:rPr>
            </w:pPr>
            <w:r w:rsidRPr="006D3693">
              <w:t>2</w:t>
            </w:r>
            <w:r w:rsidRPr="006D3693">
              <w:rPr>
                <w:rFonts w:ascii="Arial" w:hAnsi="Arial" w:cs="Arial"/>
                <w:bCs/>
                <w:szCs w:val="18"/>
              </w:rPr>
              <w:t>.</w:t>
            </w:r>
            <w:r>
              <w:rPr>
                <w:rFonts w:ascii="Arial" w:hAnsi="Arial" w:cs="Arial"/>
                <w:bCs/>
                <w:szCs w:val="18"/>
              </w:rPr>
              <w:t xml:space="preserve"> </w:t>
            </w:r>
            <w:r w:rsidRPr="006D3693">
              <w:rPr>
                <w:rFonts w:ascii="Arial" w:hAnsi="Arial" w:cs="Arial"/>
                <w:bCs/>
                <w:szCs w:val="18"/>
                <w:u w:val="single"/>
              </w:rPr>
              <w:t>Total de compromisos pendientes de implementar</w:t>
            </w:r>
            <w:r>
              <w:rPr>
                <w:rFonts w:ascii="Arial" w:hAnsi="Arial" w:cs="Arial"/>
                <w:bCs/>
                <w:szCs w:val="18"/>
              </w:rPr>
              <w:t>: Considera los compromisos que surgen de las auditorías realizadas, y no implementados, incluidos los compromisos pendientes de implementar de períodos anteriores al año t-1.</w:t>
            </w:r>
          </w:p>
          <w:p w14:paraId="4665EF89" w14:textId="77777777" w:rsidR="006D3693" w:rsidRDefault="006D3693" w:rsidP="009D1E41">
            <w:pPr>
              <w:shd w:val="clear" w:color="auto" w:fill="FFFFFF" w:themeFill="background1"/>
              <w:jc w:val="both"/>
              <w:rPr>
                <w:rFonts w:ascii="Arial" w:hAnsi="Arial" w:cs="Arial"/>
                <w:bCs/>
                <w:szCs w:val="18"/>
              </w:rPr>
            </w:pPr>
            <w:r>
              <w:rPr>
                <w:rFonts w:ascii="Arial" w:hAnsi="Arial" w:cs="Arial"/>
                <w:bCs/>
                <w:szCs w:val="18"/>
              </w:rPr>
              <w:t xml:space="preserve">3. Los compromisos de auditorías quedarán establecidos en el aplicativo web de DIPRES en </w:t>
            </w:r>
            <w:r w:rsidRPr="006D3693">
              <w:rPr>
                <w:rFonts w:ascii="Arial" w:hAnsi="Arial" w:cs="Arial"/>
                <w:bCs/>
                <w:szCs w:val="18"/>
              </w:rPr>
              <w:t>www.dipres.cl/accesorestringido/Formulación PMG 2018</w:t>
            </w:r>
            <w:r>
              <w:rPr>
                <w:rFonts w:ascii="Arial" w:hAnsi="Arial" w:cs="Arial"/>
                <w:bCs/>
                <w:szCs w:val="18"/>
              </w:rPr>
              <w:t>, de aquellos definidos por el Servicio en el año t-1 en el ‘Anexo Compromisos pendientes de implementar’, revisado por la Red de Expertos, CAIGG, que emitirá opinión técnica al respecto.</w:t>
            </w:r>
          </w:p>
          <w:p w14:paraId="4FA32BEB" w14:textId="77777777" w:rsidR="006D3693" w:rsidRDefault="006D3693" w:rsidP="009D1E41">
            <w:pPr>
              <w:shd w:val="clear" w:color="auto" w:fill="FFFFFF" w:themeFill="background1"/>
              <w:jc w:val="both"/>
              <w:rPr>
                <w:rFonts w:ascii="Arial" w:hAnsi="Arial" w:cs="Arial"/>
                <w:bCs/>
                <w:szCs w:val="18"/>
              </w:rPr>
            </w:pPr>
            <w:r>
              <w:rPr>
                <w:rFonts w:ascii="Arial" w:hAnsi="Arial" w:cs="Arial"/>
                <w:bCs/>
                <w:szCs w:val="18"/>
              </w:rPr>
              <w:t>4. Un compromiso de auditoría se considerará</w:t>
            </w:r>
            <w:r w:rsidR="00475433">
              <w:rPr>
                <w:rFonts w:ascii="Arial" w:hAnsi="Arial" w:cs="Arial"/>
                <w:bCs/>
                <w:szCs w:val="18"/>
              </w:rPr>
              <w:t xml:space="preserve"> implementado cuando:</w:t>
            </w:r>
          </w:p>
          <w:p w14:paraId="41D8A559" w14:textId="77777777" w:rsidR="00475433" w:rsidRDefault="00475433" w:rsidP="009D1E41">
            <w:pPr>
              <w:shd w:val="clear" w:color="auto" w:fill="FFFFFF" w:themeFill="background1"/>
              <w:jc w:val="both"/>
              <w:rPr>
                <w:rFonts w:ascii="Arial" w:hAnsi="Arial" w:cs="Arial"/>
                <w:bCs/>
                <w:szCs w:val="18"/>
              </w:rPr>
            </w:pPr>
            <w:r>
              <w:rPr>
                <w:rFonts w:ascii="Arial" w:hAnsi="Arial" w:cs="Arial"/>
                <w:bCs/>
                <w:szCs w:val="18"/>
              </w:rPr>
              <w:t xml:space="preserve"> a. se cumple con la realización del 100% del compromiso definido, y</w:t>
            </w:r>
          </w:p>
          <w:p w14:paraId="2F4C0C0B" w14:textId="77777777" w:rsidR="00475433" w:rsidRDefault="00475433" w:rsidP="00475433">
            <w:pPr>
              <w:shd w:val="clear" w:color="auto" w:fill="FFFFFF" w:themeFill="background1"/>
              <w:jc w:val="both"/>
              <w:rPr>
                <w:rFonts w:ascii="Arial" w:hAnsi="Arial" w:cs="Arial"/>
                <w:bCs/>
                <w:szCs w:val="18"/>
              </w:rPr>
            </w:pPr>
            <w:r>
              <w:rPr>
                <w:rFonts w:ascii="Arial" w:hAnsi="Arial" w:cs="Arial"/>
                <w:bCs/>
                <w:szCs w:val="18"/>
              </w:rPr>
              <w:t xml:space="preserve"> b. es posible verificar la realización del compromiso a través de sus medios de verificación.</w:t>
            </w:r>
          </w:p>
          <w:p w14:paraId="1376CB21" w14:textId="77777777" w:rsidR="00475433" w:rsidRPr="00DA5BD1" w:rsidRDefault="00475433" w:rsidP="00475433">
            <w:pPr>
              <w:shd w:val="clear" w:color="auto" w:fill="FFFFFF" w:themeFill="background1"/>
              <w:jc w:val="both"/>
              <w:rPr>
                <w:rFonts w:ascii="Arial" w:hAnsi="Arial" w:cs="Arial"/>
                <w:bCs/>
                <w:szCs w:val="18"/>
              </w:rPr>
            </w:pPr>
            <w:r>
              <w:rPr>
                <w:rFonts w:ascii="Arial" w:hAnsi="Arial" w:cs="Arial"/>
                <w:bCs/>
                <w:szCs w:val="18"/>
              </w:rPr>
              <w:t xml:space="preserve">5. Un compromiso no implementado deberá presentar las razones de dicho incumplimiento, señalando las causas, sean estas internas o externas a la gestión del Servicio. </w:t>
            </w:r>
          </w:p>
        </w:tc>
      </w:tr>
      <w:tr w:rsidR="009D1E41" w:rsidRPr="00007E1F" w14:paraId="358A6D3E" w14:textId="77777777" w:rsidTr="00203988">
        <w:trPr>
          <w:cantSplit/>
          <w:trHeight w:val="9204"/>
          <w:jc w:val="center"/>
        </w:trPr>
        <w:tc>
          <w:tcPr>
            <w:tcW w:w="568" w:type="dxa"/>
            <w:shd w:val="clear" w:color="000000" w:fill="FFFFFF"/>
            <w:vAlign w:val="center"/>
          </w:tcPr>
          <w:p w14:paraId="01C7E849" w14:textId="77777777" w:rsidR="009D1E41" w:rsidRDefault="009D1E41" w:rsidP="009D1E41">
            <w:pPr>
              <w:jc w:val="center"/>
              <w:rPr>
                <w:rFonts w:ascii="Arial" w:hAnsi="Arial" w:cs="Arial"/>
                <w:b/>
                <w:sz w:val="22"/>
                <w:szCs w:val="18"/>
              </w:rPr>
            </w:pPr>
            <w:r>
              <w:rPr>
                <w:rFonts w:ascii="Arial" w:hAnsi="Arial" w:cs="Arial"/>
                <w:b/>
                <w:sz w:val="22"/>
                <w:szCs w:val="18"/>
              </w:rPr>
              <w:lastRenderedPageBreak/>
              <w:t>7</w:t>
            </w:r>
          </w:p>
        </w:tc>
        <w:tc>
          <w:tcPr>
            <w:tcW w:w="1832" w:type="dxa"/>
            <w:shd w:val="clear" w:color="000000" w:fill="FFFFFF"/>
            <w:vAlign w:val="center"/>
          </w:tcPr>
          <w:p w14:paraId="6D26D98F" w14:textId="77777777" w:rsidR="009D1E41" w:rsidRDefault="00984EC9" w:rsidP="009D1E41">
            <w:pPr>
              <w:shd w:val="clear" w:color="auto" w:fill="FFFFFF" w:themeFill="background1"/>
              <w:jc w:val="both"/>
              <w:rPr>
                <w:rFonts w:ascii="Arial" w:hAnsi="Arial" w:cs="Arial"/>
                <w:szCs w:val="18"/>
              </w:rPr>
            </w:pPr>
            <w:r>
              <w:rPr>
                <w:rFonts w:ascii="Arial" w:hAnsi="Arial" w:cs="Arial"/>
                <w:szCs w:val="18"/>
              </w:rPr>
              <w:t>Porcentaje de medidas para la igualdad de género del Programa de Trabajo implementadas en el año t</w:t>
            </w:r>
          </w:p>
        </w:tc>
        <w:tc>
          <w:tcPr>
            <w:tcW w:w="1984" w:type="dxa"/>
            <w:shd w:val="clear" w:color="000000" w:fill="FFFFFF"/>
            <w:vAlign w:val="center"/>
          </w:tcPr>
          <w:p w14:paraId="06754721" w14:textId="77777777" w:rsidR="009D1E41" w:rsidRDefault="00984EC9" w:rsidP="009D1E41">
            <w:pPr>
              <w:shd w:val="clear" w:color="auto" w:fill="FFFFFF" w:themeFill="background1"/>
              <w:jc w:val="both"/>
              <w:rPr>
                <w:rFonts w:ascii="Arial" w:hAnsi="Arial" w:cs="Arial"/>
                <w:szCs w:val="18"/>
              </w:rPr>
            </w:pPr>
            <w:r>
              <w:rPr>
                <w:rFonts w:ascii="Arial" w:hAnsi="Arial" w:cs="Arial"/>
                <w:szCs w:val="18"/>
              </w:rPr>
              <w:t>(N° de medidas para la igualdad de género del programa de Trabajo implementadas en el año t / N° de medidas para la igualdad de género comprometidas para el año t en Programa de Trabajo) * 100</w:t>
            </w:r>
          </w:p>
        </w:tc>
        <w:tc>
          <w:tcPr>
            <w:tcW w:w="1276" w:type="dxa"/>
            <w:shd w:val="clear" w:color="000000" w:fill="FFFFFF"/>
            <w:vAlign w:val="center"/>
          </w:tcPr>
          <w:p w14:paraId="5C367110" w14:textId="77777777" w:rsidR="009D1E41" w:rsidRDefault="000B4B24" w:rsidP="009D1E41">
            <w:pPr>
              <w:jc w:val="center"/>
              <w:rPr>
                <w:rFonts w:ascii="Arial" w:hAnsi="Arial" w:cs="Arial"/>
                <w:color w:val="000000"/>
                <w:szCs w:val="16"/>
              </w:rPr>
            </w:pPr>
            <w:r>
              <w:rPr>
                <w:rFonts w:ascii="Arial" w:hAnsi="Arial" w:cs="Arial"/>
                <w:color w:val="000000"/>
                <w:szCs w:val="16"/>
              </w:rPr>
              <w:t>N/A</w:t>
            </w:r>
          </w:p>
        </w:tc>
        <w:tc>
          <w:tcPr>
            <w:tcW w:w="851" w:type="dxa"/>
            <w:shd w:val="clear" w:color="auto" w:fill="FFFFFF"/>
            <w:vAlign w:val="center"/>
          </w:tcPr>
          <w:p w14:paraId="2F9C55DE" w14:textId="77777777" w:rsidR="009D1E41" w:rsidRDefault="000B4B24"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1B97046F" w14:textId="77777777" w:rsidR="009D1E41" w:rsidRDefault="000B4B24" w:rsidP="009D1E4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B91E78D" w14:textId="77777777" w:rsidR="009D1E41" w:rsidRDefault="000B4B24" w:rsidP="009D1E41">
            <w:pPr>
              <w:jc w:val="center"/>
              <w:rPr>
                <w:rFonts w:ascii="Arial" w:hAnsi="Arial" w:cs="Arial"/>
                <w:b/>
                <w:szCs w:val="18"/>
              </w:rPr>
            </w:pPr>
            <w:r>
              <w:rPr>
                <w:rFonts w:ascii="Arial" w:hAnsi="Arial" w:cs="Arial"/>
                <w:b/>
                <w:szCs w:val="18"/>
              </w:rPr>
              <w:t xml:space="preserve">100% </w:t>
            </w:r>
          </w:p>
        </w:tc>
        <w:tc>
          <w:tcPr>
            <w:tcW w:w="1134" w:type="dxa"/>
            <w:gridSpan w:val="2"/>
            <w:shd w:val="clear" w:color="000000" w:fill="FFFFFF"/>
            <w:vAlign w:val="center"/>
          </w:tcPr>
          <w:p w14:paraId="776CBBCD" w14:textId="1A637960" w:rsidR="009D1E41" w:rsidRPr="002C0A34" w:rsidRDefault="00203988" w:rsidP="009D1E41">
            <w:pPr>
              <w:jc w:val="center"/>
              <w:rPr>
                <w:rFonts w:ascii="Arial" w:hAnsi="Arial" w:cs="Arial"/>
                <w:b/>
                <w:szCs w:val="18"/>
              </w:rPr>
            </w:pPr>
            <w:r>
              <w:rPr>
                <w:rFonts w:ascii="Arial" w:hAnsi="Arial" w:cs="Arial"/>
                <w:b/>
                <w:szCs w:val="18"/>
              </w:rPr>
              <w:t>4</w:t>
            </w:r>
            <w:r w:rsidR="000B4B24">
              <w:rPr>
                <w:rFonts w:ascii="Arial" w:hAnsi="Arial" w:cs="Arial"/>
                <w:b/>
                <w:szCs w:val="18"/>
              </w:rPr>
              <w:t xml:space="preserve"> / </w:t>
            </w:r>
            <w:r>
              <w:rPr>
                <w:rFonts w:ascii="Arial" w:hAnsi="Arial" w:cs="Arial"/>
                <w:b/>
                <w:szCs w:val="18"/>
              </w:rPr>
              <w:t>4</w:t>
            </w:r>
          </w:p>
        </w:tc>
        <w:tc>
          <w:tcPr>
            <w:tcW w:w="8929" w:type="dxa"/>
            <w:shd w:val="clear" w:color="000000" w:fill="FFFFFF"/>
            <w:vAlign w:val="center"/>
          </w:tcPr>
          <w:p w14:paraId="216D8E6D" w14:textId="77777777" w:rsidR="009D1E41" w:rsidRDefault="000B4B24" w:rsidP="009D1E41">
            <w:pPr>
              <w:shd w:val="clear" w:color="auto" w:fill="FFFFFF" w:themeFill="background1"/>
              <w:jc w:val="both"/>
              <w:rPr>
                <w:rFonts w:ascii="Arial" w:hAnsi="Arial" w:cs="Arial"/>
                <w:bCs/>
                <w:szCs w:val="18"/>
              </w:rPr>
            </w:pPr>
            <w:r>
              <w:rPr>
                <w:rFonts w:ascii="Arial" w:hAnsi="Arial" w:cs="Arial"/>
                <w:bCs/>
                <w:szCs w:val="18"/>
              </w:rPr>
              <w:t xml:space="preserve">1. El Programa de Trabajo se compone de medidas que </w:t>
            </w:r>
            <w:r w:rsidR="00545635">
              <w:rPr>
                <w:rFonts w:ascii="Arial" w:hAnsi="Arial" w:cs="Arial"/>
                <w:bCs/>
                <w:szCs w:val="18"/>
              </w:rPr>
              <w:t>deben</w:t>
            </w:r>
            <w:r>
              <w:rPr>
                <w:rFonts w:ascii="Arial" w:hAnsi="Arial" w:cs="Arial"/>
                <w:bCs/>
                <w:szCs w:val="18"/>
              </w:rPr>
              <w:t xml:space="preserve"> cubrir aspectos relevantes de la gestión institucional</w:t>
            </w:r>
            <w:r w:rsidR="00545635">
              <w:rPr>
                <w:rFonts w:ascii="Arial" w:hAnsi="Arial" w:cs="Arial"/>
                <w:bCs/>
                <w:szCs w:val="18"/>
              </w:rPr>
              <w:t xml:space="preserve"> en base a las Definiciones Estratégicas</w:t>
            </w:r>
            <w:r>
              <w:rPr>
                <w:rFonts w:ascii="Arial" w:hAnsi="Arial" w:cs="Arial"/>
                <w:bCs/>
                <w:szCs w:val="18"/>
              </w:rPr>
              <w:t xml:space="preserve"> </w:t>
            </w:r>
            <w:r w:rsidR="00545635">
              <w:rPr>
                <w:rFonts w:ascii="Arial" w:hAnsi="Arial" w:cs="Arial"/>
                <w:bCs/>
                <w:szCs w:val="18"/>
              </w:rPr>
              <w:t xml:space="preserve">presentadas en el Formulario A1, al Plan de Igualdad entre mujeres y hombres, a la Agenda de Género Gubernamental del Período 2014-2018 y centradas principalmente en la ciudadanía. </w:t>
            </w:r>
          </w:p>
          <w:p w14:paraId="02FDB542" w14:textId="77777777" w:rsidR="00545635" w:rsidRDefault="00545635" w:rsidP="009D1E41">
            <w:pPr>
              <w:shd w:val="clear" w:color="auto" w:fill="FFFFFF" w:themeFill="background1"/>
              <w:jc w:val="both"/>
              <w:rPr>
                <w:rFonts w:ascii="Arial" w:hAnsi="Arial" w:cs="Arial"/>
                <w:bCs/>
                <w:szCs w:val="18"/>
              </w:rPr>
            </w:pPr>
            <w:r>
              <w:rPr>
                <w:rFonts w:ascii="Arial" w:hAnsi="Arial" w:cs="Arial"/>
                <w:bCs/>
                <w:szCs w:val="18"/>
              </w:rPr>
              <w:t>2. Las medidas para la igualdad de género son un conjunto de indicadores de desempeño y/o actividades estratégicas que abordan programas, líneas de trabajo, y/o acciones estratégicas que están orientadas a contribuir a la disminución de inequidad(es), brecha(s) o barrera(s) de género, correspondiente al ámbito de acción del Servicio.</w:t>
            </w:r>
          </w:p>
          <w:p w14:paraId="5A1F474B" w14:textId="77777777" w:rsidR="00545635" w:rsidRDefault="00545635" w:rsidP="009D1E41">
            <w:pPr>
              <w:shd w:val="clear" w:color="auto" w:fill="FFFFFF" w:themeFill="background1"/>
              <w:jc w:val="both"/>
              <w:rPr>
                <w:rFonts w:ascii="Arial" w:hAnsi="Arial" w:cs="Arial"/>
                <w:bCs/>
                <w:szCs w:val="18"/>
              </w:rPr>
            </w:pPr>
            <w:r>
              <w:rPr>
                <w:rFonts w:ascii="Arial" w:hAnsi="Arial" w:cs="Arial"/>
                <w:bCs/>
                <w:szCs w:val="18"/>
              </w:rPr>
              <w:t>3. Las medidas deben estar vinculadas a los productos estratégicos que serán revisados por la Subsecretaría de la Mujer y la Equidad de Género que aplican Enfoque de Género, según lo definido en el formulario A1 2018 de Definiciones Estratégicas de la Institución.</w:t>
            </w:r>
          </w:p>
          <w:p w14:paraId="7CFEE96D" w14:textId="77777777" w:rsidR="00CE2687" w:rsidRDefault="00CE2687" w:rsidP="009D1E41">
            <w:pPr>
              <w:shd w:val="clear" w:color="auto" w:fill="FFFFFF" w:themeFill="background1"/>
              <w:jc w:val="both"/>
              <w:rPr>
                <w:rFonts w:ascii="Arial" w:hAnsi="Arial" w:cs="Arial"/>
                <w:bCs/>
                <w:szCs w:val="18"/>
              </w:rPr>
            </w:pPr>
            <w:r>
              <w:rPr>
                <w:rFonts w:ascii="Arial" w:hAnsi="Arial" w:cs="Arial"/>
                <w:bCs/>
                <w:szCs w:val="18"/>
              </w:rPr>
              <w:t>4. Las medidas para la igualdad de género serán aprobadas por el Jefe Superior de Servicio a más tardar el 31 de diciembre del año t-1.</w:t>
            </w:r>
          </w:p>
          <w:p w14:paraId="5A4E01FE" w14:textId="77777777" w:rsidR="00545635" w:rsidRDefault="00BD711D" w:rsidP="009D1E41">
            <w:pPr>
              <w:shd w:val="clear" w:color="auto" w:fill="FFFFFF" w:themeFill="background1"/>
              <w:jc w:val="both"/>
              <w:rPr>
                <w:rFonts w:ascii="Arial" w:hAnsi="Arial" w:cs="Arial"/>
                <w:bCs/>
                <w:szCs w:val="18"/>
              </w:rPr>
            </w:pPr>
            <w:r>
              <w:rPr>
                <w:rFonts w:ascii="Arial" w:hAnsi="Arial" w:cs="Arial"/>
                <w:bCs/>
                <w:szCs w:val="18"/>
              </w:rPr>
              <w:t>5</w:t>
            </w:r>
            <w:r w:rsidR="00545635">
              <w:rPr>
                <w:rFonts w:ascii="Arial" w:hAnsi="Arial" w:cs="Arial"/>
                <w:bCs/>
                <w:szCs w:val="18"/>
              </w:rPr>
              <w:t>. El programa debe contener las siguientes medidas:</w:t>
            </w:r>
          </w:p>
          <w:p w14:paraId="7DAF4FCD" w14:textId="77777777" w:rsidR="00545635" w:rsidRDefault="00545635" w:rsidP="009D1E41">
            <w:pPr>
              <w:shd w:val="clear" w:color="auto" w:fill="FFFFFF" w:themeFill="background1"/>
              <w:jc w:val="both"/>
              <w:rPr>
                <w:rFonts w:ascii="Arial" w:hAnsi="Arial" w:cs="Arial"/>
                <w:bCs/>
                <w:szCs w:val="18"/>
              </w:rPr>
            </w:pPr>
            <w:r>
              <w:rPr>
                <w:rFonts w:ascii="Arial" w:hAnsi="Arial" w:cs="Arial"/>
                <w:bCs/>
                <w:szCs w:val="18"/>
              </w:rPr>
              <w:t xml:space="preserve"> a. Diseño y/o actualización, cuando corresponda, de indicadores de desempeño que midan directamente inequidades, brechas y/o barreras de género.</w:t>
            </w:r>
          </w:p>
          <w:p w14:paraId="49956634" w14:textId="67BD4560" w:rsidR="00031549" w:rsidRDefault="00545635" w:rsidP="00031549">
            <w:pPr>
              <w:shd w:val="clear" w:color="auto" w:fill="FFFFFF" w:themeFill="background1"/>
              <w:jc w:val="both"/>
              <w:rPr>
                <w:rFonts w:ascii="Arial" w:hAnsi="Arial" w:cs="Arial"/>
                <w:bCs/>
                <w:szCs w:val="18"/>
              </w:rPr>
            </w:pPr>
            <w:r>
              <w:rPr>
                <w:rFonts w:ascii="Arial" w:hAnsi="Arial" w:cs="Arial"/>
                <w:bCs/>
                <w:szCs w:val="18"/>
              </w:rPr>
              <w:t xml:space="preserve"> b. Medición de indica</w:t>
            </w:r>
            <w:r w:rsidR="00BD711D">
              <w:rPr>
                <w:rFonts w:ascii="Arial" w:hAnsi="Arial" w:cs="Arial"/>
                <w:bCs/>
                <w:szCs w:val="18"/>
              </w:rPr>
              <w:t xml:space="preserve">dor(es) diseñados en el año </w:t>
            </w:r>
            <w:r w:rsidR="00BD3F2F">
              <w:rPr>
                <w:rFonts w:ascii="Arial" w:hAnsi="Arial" w:cs="Arial"/>
                <w:bCs/>
                <w:szCs w:val="18"/>
              </w:rPr>
              <w:t>2018</w:t>
            </w:r>
            <w:r>
              <w:rPr>
                <w:rFonts w:ascii="Arial" w:hAnsi="Arial" w:cs="Arial"/>
                <w:bCs/>
                <w:szCs w:val="18"/>
              </w:rPr>
              <w:t>. La medición corresponde a los valores efectivos al 30 de junio y al 31 de diciembre</w:t>
            </w:r>
            <w:r w:rsidR="00031549">
              <w:rPr>
                <w:rFonts w:ascii="Arial" w:hAnsi="Arial" w:cs="Arial"/>
                <w:bCs/>
                <w:szCs w:val="18"/>
              </w:rPr>
              <w:t xml:space="preserve"> </w:t>
            </w:r>
            <w:r w:rsidR="00BD711D">
              <w:rPr>
                <w:rFonts w:ascii="Arial" w:hAnsi="Arial" w:cs="Arial"/>
                <w:bCs/>
                <w:szCs w:val="18"/>
              </w:rPr>
              <w:t>de 2018</w:t>
            </w:r>
            <w:r w:rsidR="00824D60">
              <w:rPr>
                <w:rFonts w:ascii="Arial" w:hAnsi="Arial" w:cs="Arial"/>
                <w:bCs/>
                <w:szCs w:val="18"/>
              </w:rPr>
              <w:t>, y cuando sea factible, para años anteriores</w:t>
            </w:r>
            <w:r w:rsidR="00BD711D">
              <w:rPr>
                <w:rFonts w:ascii="Arial" w:hAnsi="Arial" w:cs="Arial"/>
                <w:bCs/>
                <w:szCs w:val="18"/>
              </w:rPr>
              <w:t>. En el programa de trabajo se detallará el/los indicador/es a medir.</w:t>
            </w:r>
          </w:p>
          <w:p w14:paraId="037EC71D" w14:textId="2AFCA615" w:rsidR="00031549" w:rsidRDefault="00031549" w:rsidP="00031549">
            <w:pPr>
              <w:shd w:val="clear" w:color="auto" w:fill="FFFFFF" w:themeFill="background1"/>
              <w:jc w:val="both"/>
              <w:rPr>
                <w:rFonts w:ascii="Arial" w:hAnsi="Arial" w:cs="Arial"/>
                <w:bCs/>
                <w:szCs w:val="18"/>
              </w:rPr>
            </w:pPr>
            <w:r>
              <w:rPr>
                <w:rFonts w:ascii="Arial" w:hAnsi="Arial" w:cs="Arial"/>
                <w:bCs/>
                <w:szCs w:val="18"/>
              </w:rPr>
              <w:t xml:space="preserve"> c. Incorporación, para los casos nuevos o sin implementar al</w:t>
            </w:r>
            <w:r w:rsidR="00BD711D">
              <w:rPr>
                <w:rFonts w:ascii="Arial" w:hAnsi="Arial" w:cs="Arial"/>
                <w:bCs/>
                <w:szCs w:val="18"/>
              </w:rPr>
              <w:t xml:space="preserve"> 31 de diciembre de </w:t>
            </w:r>
            <w:r w:rsidR="00BD3F2F">
              <w:rPr>
                <w:rFonts w:ascii="Arial" w:hAnsi="Arial" w:cs="Arial"/>
                <w:bCs/>
                <w:szCs w:val="18"/>
              </w:rPr>
              <w:t>2018</w:t>
            </w:r>
            <w:r>
              <w:rPr>
                <w:rFonts w:ascii="Arial" w:hAnsi="Arial" w:cs="Arial"/>
                <w:bCs/>
                <w:szCs w:val="18"/>
              </w:rPr>
              <w:t>, de datos desagregados por sexo en: (a) sistemas de información que administre el servicio que contengan datos de personas; (b) estadísticas oficiales que dispongan información asociada a personas; y (c) estudios públicos cuyo objetivo de investigación esté referido a personas</w:t>
            </w:r>
            <w:r w:rsidR="00BD711D">
              <w:rPr>
                <w:rFonts w:ascii="Arial" w:hAnsi="Arial" w:cs="Arial"/>
                <w:bCs/>
                <w:szCs w:val="18"/>
              </w:rPr>
              <w:t xml:space="preserve">. </w:t>
            </w:r>
          </w:p>
          <w:p w14:paraId="31A95E6E" w14:textId="77777777" w:rsidR="00031549" w:rsidRDefault="00BD711D" w:rsidP="00031549">
            <w:pPr>
              <w:shd w:val="clear" w:color="auto" w:fill="FFFFFF" w:themeFill="background1"/>
              <w:jc w:val="both"/>
              <w:rPr>
                <w:rFonts w:ascii="Arial" w:hAnsi="Arial" w:cs="Arial"/>
                <w:bCs/>
                <w:szCs w:val="18"/>
              </w:rPr>
            </w:pPr>
            <w:r>
              <w:rPr>
                <w:rFonts w:ascii="Arial" w:hAnsi="Arial" w:cs="Arial"/>
                <w:bCs/>
                <w:szCs w:val="18"/>
              </w:rPr>
              <w:t>6</w:t>
            </w:r>
            <w:r w:rsidR="00031549">
              <w:rPr>
                <w:rFonts w:ascii="Arial" w:hAnsi="Arial" w:cs="Arial"/>
                <w:bCs/>
                <w:szCs w:val="18"/>
              </w:rPr>
              <w:t>. Adicionalmente, se podrá incorporar como medida del programa de Trabajo Capacitación en género de funcionarios y funcio</w:t>
            </w:r>
            <w:r>
              <w:rPr>
                <w:rFonts w:ascii="Arial" w:hAnsi="Arial" w:cs="Arial"/>
                <w:bCs/>
                <w:szCs w:val="18"/>
              </w:rPr>
              <w:t>narias del Servicio</w:t>
            </w:r>
            <w:r w:rsidR="00031549">
              <w:rPr>
                <w:rFonts w:ascii="Arial" w:hAnsi="Arial" w:cs="Arial"/>
                <w:bCs/>
                <w:szCs w:val="18"/>
              </w:rPr>
              <w:t>.</w:t>
            </w:r>
          </w:p>
          <w:p w14:paraId="499872F5" w14:textId="77777777" w:rsidR="00545635" w:rsidRDefault="00BD711D" w:rsidP="00031549">
            <w:pPr>
              <w:shd w:val="clear" w:color="auto" w:fill="FFFFFF" w:themeFill="background1"/>
              <w:jc w:val="both"/>
              <w:rPr>
                <w:rFonts w:ascii="Arial" w:hAnsi="Arial" w:cs="Arial"/>
                <w:bCs/>
                <w:szCs w:val="18"/>
              </w:rPr>
            </w:pPr>
            <w:r>
              <w:rPr>
                <w:rFonts w:ascii="Arial" w:hAnsi="Arial" w:cs="Arial"/>
                <w:bCs/>
                <w:szCs w:val="18"/>
              </w:rPr>
              <w:t>7</w:t>
            </w:r>
            <w:r w:rsidR="00031549">
              <w:rPr>
                <w:rFonts w:ascii="Arial" w:hAnsi="Arial" w:cs="Arial"/>
                <w:bCs/>
                <w:szCs w:val="18"/>
              </w:rPr>
              <w:t xml:space="preserve">. Las medidas para la igualdad de género comprometidas para el año t quedan </w:t>
            </w:r>
            <w:r w:rsidR="0080708D">
              <w:rPr>
                <w:rFonts w:ascii="Arial" w:hAnsi="Arial" w:cs="Arial"/>
                <w:bCs/>
                <w:szCs w:val="18"/>
              </w:rPr>
              <w:t>establecidas</w:t>
            </w:r>
            <w:r w:rsidR="00031549">
              <w:rPr>
                <w:rFonts w:ascii="Arial" w:hAnsi="Arial" w:cs="Arial"/>
                <w:bCs/>
                <w:szCs w:val="18"/>
              </w:rPr>
              <w:t xml:space="preserve"> por la institución</w:t>
            </w:r>
            <w:r w:rsidR="0080708D">
              <w:rPr>
                <w:rFonts w:ascii="Arial" w:hAnsi="Arial" w:cs="Arial"/>
                <w:bCs/>
                <w:szCs w:val="18"/>
              </w:rPr>
              <w:t xml:space="preserve"> al 31 de diciembre del año t-1 en un Programa de Trabajo</w:t>
            </w:r>
            <w:r>
              <w:rPr>
                <w:rFonts w:ascii="Arial" w:hAnsi="Arial" w:cs="Arial"/>
                <w:bCs/>
                <w:szCs w:val="18"/>
              </w:rPr>
              <w:t xml:space="preserve"> </w:t>
            </w:r>
            <w:r w:rsidRPr="00BD711D">
              <w:rPr>
                <w:rFonts w:ascii="Arial" w:hAnsi="Arial" w:cs="Arial"/>
                <w:bCs/>
                <w:szCs w:val="18"/>
                <w:u w:val="single"/>
              </w:rPr>
              <w:t>aprobado por el Jefe Superior del Servicio</w:t>
            </w:r>
            <w:r w:rsidR="0080708D">
              <w:rPr>
                <w:rFonts w:ascii="Arial" w:hAnsi="Arial" w:cs="Arial"/>
                <w:bCs/>
                <w:szCs w:val="18"/>
              </w:rPr>
              <w:t>, y será revisado por la Subsecretaría de la Mujer y la Equidad de Género, que emitirá opinión técnica al respecto y deberá ser registrado en el portal http//www.sernam.cl/pmg durante el año t.</w:t>
            </w:r>
          </w:p>
          <w:p w14:paraId="787F0867" w14:textId="77777777" w:rsidR="0080708D" w:rsidRDefault="00BD711D" w:rsidP="00031549">
            <w:pPr>
              <w:shd w:val="clear" w:color="auto" w:fill="FFFFFF" w:themeFill="background1"/>
              <w:jc w:val="both"/>
              <w:rPr>
                <w:rFonts w:ascii="Arial" w:hAnsi="Arial" w:cs="Arial"/>
                <w:bCs/>
                <w:szCs w:val="18"/>
              </w:rPr>
            </w:pPr>
            <w:r>
              <w:rPr>
                <w:rFonts w:ascii="Arial" w:hAnsi="Arial" w:cs="Arial"/>
                <w:bCs/>
                <w:szCs w:val="18"/>
              </w:rPr>
              <w:t>8</w:t>
            </w:r>
            <w:r w:rsidR="0080708D">
              <w:rPr>
                <w:rFonts w:ascii="Arial" w:hAnsi="Arial" w:cs="Arial"/>
                <w:bCs/>
                <w:szCs w:val="18"/>
              </w:rPr>
              <w:t xml:space="preserve">. Una medida se considerará implementada cuando: </w:t>
            </w:r>
          </w:p>
          <w:p w14:paraId="3C724ABC" w14:textId="77777777" w:rsidR="0080708D" w:rsidRDefault="0080708D" w:rsidP="00031549">
            <w:pPr>
              <w:shd w:val="clear" w:color="auto" w:fill="FFFFFF" w:themeFill="background1"/>
              <w:jc w:val="both"/>
              <w:rPr>
                <w:rFonts w:ascii="Arial" w:hAnsi="Arial" w:cs="Arial"/>
                <w:bCs/>
                <w:szCs w:val="18"/>
              </w:rPr>
            </w:pPr>
            <w:r>
              <w:rPr>
                <w:rFonts w:ascii="Arial" w:hAnsi="Arial" w:cs="Arial"/>
                <w:bCs/>
                <w:szCs w:val="18"/>
              </w:rPr>
              <w:t xml:space="preserve">- </w:t>
            </w:r>
            <w:r w:rsidRPr="0080708D">
              <w:rPr>
                <w:rFonts w:ascii="Arial" w:hAnsi="Arial" w:cs="Arial"/>
                <w:bCs/>
                <w:szCs w:val="18"/>
                <w:u w:val="single"/>
              </w:rPr>
              <w:t>se cumple</w:t>
            </w:r>
            <w:r w:rsidRPr="0080708D">
              <w:rPr>
                <w:rFonts w:ascii="Arial" w:hAnsi="Arial" w:cs="Arial"/>
                <w:bCs/>
                <w:szCs w:val="18"/>
              </w:rPr>
              <w:t xml:space="preserve"> con la realización del 100% de la actividad planificada</w:t>
            </w:r>
            <w:r>
              <w:rPr>
                <w:rFonts w:ascii="Arial" w:hAnsi="Arial" w:cs="Arial"/>
                <w:bCs/>
                <w:szCs w:val="18"/>
              </w:rPr>
              <w:t xml:space="preserve"> y/o cumple en al menos un 95% la meta, en el caso de indicadores de desempeño.</w:t>
            </w:r>
          </w:p>
          <w:p w14:paraId="07A9D6C2" w14:textId="77777777" w:rsidR="0080708D" w:rsidRDefault="0080708D" w:rsidP="00031549">
            <w:pPr>
              <w:shd w:val="clear" w:color="auto" w:fill="FFFFFF" w:themeFill="background1"/>
              <w:jc w:val="both"/>
              <w:rPr>
                <w:rFonts w:ascii="Arial" w:hAnsi="Arial" w:cs="Arial"/>
                <w:bCs/>
                <w:szCs w:val="18"/>
              </w:rPr>
            </w:pPr>
            <w:r>
              <w:rPr>
                <w:rFonts w:ascii="Arial" w:hAnsi="Arial" w:cs="Arial"/>
                <w:bCs/>
                <w:szCs w:val="18"/>
              </w:rPr>
              <w:t>- es posible verificar la realización de la medida y/o los valores, a través de sus medios de verificación.</w:t>
            </w:r>
          </w:p>
          <w:p w14:paraId="19A07665" w14:textId="77777777" w:rsidR="0080708D" w:rsidRDefault="0080708D" w:rsidP="00031549">
            <w:pPr>
              <w:shd w:val="clear" w:color="auto" w:fill="FFFFFF" w:themeFill="background1"/>
              <w:jc w:val="both"/>
              <w:rPr>
                <w:rFonts w:ascii="Arial" w:hAnsi="Arial" w:cs="Arial"/>
                <w:bCs/>
                <w:szCs w:val="18"/>
              </w:rPr>
            </w:pPr>
            <w:r>
              <w:rPr>
                <w:rFonts w:ascii="Arial" w:hAnsi="Arial" w:cs="Arial"/>
                <w:bCs/>
                <w:szCs w:val="18"/>
              </w:rPr>
              <w:t>- la información entregada y/o los valores efectivos informados son consistentes con lo informado en los medios de verificación.</w:t>
            </w:r>
          </w:p>
          <w:p w14:paraId="3BEAB0B9" w14:textId="77777777" w:rsidR="0080708D" w:rsidRPr="002C0A34" w:rsidRDefault="00BD711D" w:rsidP="00031549">
            <w:pPr>
              <w:shd w:val="clear" w:color="auto" w:fill="FFFFFF" w:themeFill="background1"/>
              <w:jc w:val="both"/>
              <w:rPr>
                <w:rFonts w:ascii="Arial" w:hAnsi="Arial" w:cs="Arial"/>
                <w:bCs/>
                <w:szCs w:val="18"/>
              </w:rPr>
            </w:pPr>
            <w:r>
              <w:rPr>
                <w:rFonts w:ascii="Arial" w:hAnsi="Arial" w:cs="Arial"/>
                <w:bCs/>
                <w:szCs w:val="18"/>
              </w:rPr>
              <w:t>9</w:t>
            </w:r>
            <w:r w:rsidR="0080708D">
              <w:rPr>
                <w:rFonts w:ascii="Arial" w:hAnsi="Arial" w:cs="Arial"/>
                <w:bCs/>
                <w:szCs w:val="18"/>
              </w:rPr>
              <w:t>. Una medida considerada no implementada deberá contar con la información de la razones de dicho incumplimiento, señalando las causas sean éstas externas o internas a la gestión del Servicio.</w:t>
            </w:r>
          </w:p>
        </w:tc>
      </w:tr>
      <w:tr w:rsidR="009D1E41" w:rsidRPr="00007E1F" w14:paraId="0626186F" w14:textId="77777777" w:rsidTr="00FF1EE9">
        <w:trPr>
          <w:cantSplit/>
          <w:trHeight w:val="1115"/>
          <w:jc w:val="center"/>
        </w:trPr>
        <w:tc>
          <w:tcPr>
            <w:tcW w:w="568" w:type="dxa"/>
            <w:shd w:val="clear" w:color="000000" w:fill="FFFFFF"/>
            <w:vAlign w:val="center"/>
          </w:tcPr>
          <w:p w14:paraId="1A8DBAAB" w14:textId="77777777" w:rsidR="009D1E41" w:rsidRDefault="009D1E41" w:rsidP="009D1E41">
            <w:pPr>
              <w:jc w:val="center"/>
              <w:rPr>
                <w:rFonts w:ascii="Arial" w:hAnsi="Arial" w:cs="Arial"/>
                <w:b/>
                <w:sz w:val="22"/>
                <w:szCs w:val="18"/>
              </w:rPr>
            </w:pPr>
            <w:r>
              <w:rPr>
                <w:rFonts w:ascii="Arial" w:hAnsi="Arial" w:cs="Arial"/>
                <w:b/>
                <w:sz w:val="22"/>
                <w:szCs w:val="18"/>
              </w:rPr>
              <w:lastRenderedPageBreak/>
              <w:t>8</w:t>
            </w:r>
          </w:p>
        </w:tc>
        <w:tc>
          <w:tcPr>
            <w:tcW w:w="1832" w:type="dxa"/>
            <w:shd w:val="clear" w:color="000000" w:fill="FFFFFF"/>
            <w:vAlign w:val="center"/>
          </w:tcPr>
          <w:p w14:paraId="4A3EEF1D" w14:textId="77777777" w:rsidR="009D1E41" w:rsidRDefault="0080708D" w:rsidP="009D1E41">
            <w:pPr>
              <w:shd w:val="clear" w:color="auto" w:fill="FFFFFF" w:themeFill="background1"/>
              <w:jc w:val="both"/>
              <w:rPr>
                <w:rFonts w:ascii="Arial" w:hAnsi="Arial" w:cs="Arial"/>
                <w:szCs w:val="18"/>
              </w:rPr>
            </w:pPr>
            <w:r>
              <w:rPr>
                <w:rFonts w:ascii="Arial" w:hAnsi="Arial" w:cs="Arial"/>
                <w:szCs w:val="18"/>
              </w:rPr>
              <w:t>Índice de Eficiencia Energética</w:t>
            </w:r>
          </w:p>
        </w:tc>
        <w:tc>
          <w:tcPr>
            <w:tcW w:w="1984" w:type="dxa"/>
            <w:shd w:val="clear" w:color="000000" w:fill="FFFFFF"/>
            <w:vAlign w:val="center"/>
          </w:tcPr>
          <w:p w14:paraId="6B67FFD4" w14:textId="77777777" w:rsidR="009D1E41" w:rsidRDefault="004175D8" w:rsidP="009D1E41">
            <w:pPr>
              <w:shd w:val="clear" w:color="auto" w:fill="FFFFFF" w:themeFill="background1"/>
              <w:jc w:val="both"/>
              <w:rPr>
                <w:rFonts w:ascii="Arial" w:hAnsi="Arial" w:cs="Arial"/>
                <w:szCs w:val="18"/>
              </w:rPr>
            </w:pPr>
            <w:r>
              <w:rPr>
                <w:rFonts w:ascii="Arial" w:hAnsi="Arial" w:cs="Arial"/>
                <w:szCs w:val="18"/>
              </w:rPr>
              <w:t>(Consumo Total de Energía (CTE) en el año t / Superficie</w:t>
            </w:r>
            <w:r w:rsidR="008D4804">
              <w:rPr>
                <w:rFonts w:ascii="Arial" w:hAnsi="Arial" w:cs="Arial"/>
                <w:szCs w:val="18"/>
              </w:rPr>
              <w:t xml:space="preserve"> Total (ST) del conjunto de edificaciones utilizadas por el Servicio en el año t)</w:t>
            </w:r>
          </w:p>
        </w:tc>
        <w:tc>
          <w:tcPr>
            <w:tcW w:w="1276" w:type="dxa"/>
            <w:shd w:val="clear" w:color="000000" w:fill="FFFFFF"/>
            <w:vAlign w:val="center"/>
          </w:tcPr>
          <w:p w14:paraId="0FCE4F1F" w14:textId="77777777" w:rsidR="009D1E41" w:rsidRDefault="008D4804" w:rsidP="009D1E41">
            <w:pPr>
              <w:jc w:val="center"/>
              <w:rPr>
                <w:rFonts w:ascii="Arial" w:hAnsi="Arial" w:cs="Arial"/>
                <w:color w:val="000000"/>
                <w:szCs w:val="16"/>
              </w:rPr>
            </w:pPr>
            <w:r>
              <w:rPr>
                <w:rFonts w:ascii="Arial" w:hAnsi="Arial" w:cs="Arial"/>
                <w:color w:val="000000"/>
                <w:szCs w:val="16"/>
              </w:rPr>
              <w:t>N/A</w:t>
            </w:r>
          </w:p>
        </w:tc>
        <w:tc>
          <w:tcPr>
            <w:tcW w:w="851" w:type="dxa"/>
            <w:shd w:val="clear" w:color="auto" w:fill="FFFFFF"/>
            <w:vAlign w:val="center"/>
          </w:tcPr>
          <w:p w14:paraId="78BE0956" w14:textId="77777777" w:rsidR="009D1E41" w:rsidRDefault="008D4804"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2D792779" w14:textId="77777777" w:rsidR="009D1E41" w:rsidRDefault="008D4804" w:rsidP="009D1E41">
            <w:pPr>
              <w:jc w:val="center"/>
              <w:rPr>
                <w:rFonts w:ascii="Arial" w:hAnsi="Arial" w:cs="Arial"/>
                <w:szCs w:val="18"/>
              </w:rPr>
            </w:pPr>
            <w:r>
              <w:rPr>
                <w:rFonts w:ascii="Arial" w:hAnsi="Arial" w:cs="Arial"/>
                <w:szCs w:val="18"/>
              </w:rPr>
              <w:t>Índice</w:t>
            </w:r>
          </w:p>
        </w:tc>
        <w:tc>
          <w:tcPr>
            <w:tcW w:w="1134" w:type="dxa"/>
            <w:shd w:val="clear" w:color="000000" w:fill="FFFFFF"/>
            <w:vAlign w:val="center"/>
          </w:tcPr>
          <w:p w14:paraId="1BEC10EB" w14:textId="0E7D0410" w:rsidR="009D1E41" w:rsidRDefault="00203988" w:rsidP="009D1E41">
            <w:pPr>
              <w:jc w:val="center"/>
              <w:rPr>
                <w:rFonts w:ascii="Arial" w:hAnsi="Arial" w:cs="Arial"/>
                <w:b/>
                <w:szCs w:val="18"/>
              </w:rPr>
            </w:pPr>
            <w:r>
              <w:rPr>
                <w:rFonts w:ascii="Arial" w:hAnsi="Arial" w:cs="Arial"/>
                <w:b/>
                <w:szCs w:val="18"/>
              </w:rPr>
              <w:t>132</w:t>
            </w:r>
            <w:r w:rsidR="0060129F">
              <w:rPr>
                <w:rFonts w:ascii="Arial" w:hAnsi="Arial" w:cs="Arial"/>
                <w:b/>
                <w:szCs w:val="18"/>
              </w:rPr>
              <w:t xml:space="preserve"> kWh/m2</w:t>
            </w:r>
          </w:p>
        </w:tc>
        <w:tc>
          <w:tcPr>
            <w:tcW w:w="1134" w:type="dxa"/>
            <w:gridSpan w:val="2"/>
            <w:shd w:val="clear" w:color="000000" w:fill="FFFFFF"/>
            <w:vAlign w:val="center"/>
          </w:tcPr>
          <w:p w14:paraId="4A51D78B" w14:textId="5AC11B4B" w:rsidR="009D1E41" w:rsidRPr="002C0A34" w:rsidRDefault="00203988" w:rsidP="009D1E41">
            <w:pPr>
              <w:jc w:val="center"/>
              <w:rPr>
                <w:rFonts w:ascii="Arial" w:hAnsi="Arial" w:cs="Arial"/>
                <w:b/>
                <w:szCs w:val="18"/>
              </w:rPr>
            </w:pPr>
            <w:r>
              <w:rPr>
                <w:rFonts w:ascii="Arial" w:hAnsi="Arial" w:cs="Arial"/>
                <w:b/>
                <w:szCs w:val="18"/>
              </w:rPr>
              <w:t>462.323</w:t>
            </w:r>
            <w:r w:rsidR="008D4804">
              <w:rPr>
                <w:rFonts w:ascii="Arial" w:hAnsi="Arial" w:cs="Arial"/>
                <w:b/>
                <w:szCs w:val="18"/>
              </w:rPr>
              <w:t xml:space="preserve"> / 3.516</w:t>
            </w:r>
          </w:p>
        </w:tc>
        <w:tc>
          <w:tcPr>
            <w:tcW w:w="8929" w:type="dxa"/>
            <w:shd w:val="clear" w:color="000000" w:fill="FFFFFF"/>
            <w:vAlign w:val="center"/>
          </w:tcPr>
          <w:p w14:paraId="40C6D6F9" w14:textId="77777777" w:rsidR="009D1E41" w:rsidRDefault="008D4804" w:rsidP="009D1E41">
            <w:pPr>
              <w:shd w:val="clear" w:color="auto" w:fill="FFFFFF" w:themeFill="background1"/>
              <w:jc w:val="both"/>
              <w:rPr>
                <w:rFonts w:ascii="Arial" w:hAnsi="Arial" w:cs="Arial"/>
                <w:bCs/>
                <w:szCs w:val="18"/>
              </w:rPr>
            </w:pPr>
            <w:r>
              <w:rPr>
                <w:rFonts w:ascii="Arial" w:hAnsi="Arial" w:cs="Arial"/>
                <w:bCs/>
                <w:szCs w:val="18"/>
              </w:rPr>
              <w:t xml:space="preserve">1. </w:t>
            </w:r>
            <w:r w:rsidR="00E61CF1">
              <w:rPr>
                <w:rFonts w:ascii="Arial" w:hAnsi="Arial" w:cs="Arial"/>
                <w:bCs/>
                <w:szCs w:val="18"/>
              </w:rPr>
              <w:t>S</w:t>
            </w:r>
            <w:r>
              <w:rPr>
                <w:rFonts w:ascii="Arial" w:hAnsi="Arial" w:cs="Arial"/>
                <w:bCs/>
                <w:szCs w:val="18"/>
              </w:rPr>
              <w:t>e debe considerar la siguiente información para la medición del indicador:</w:t>
            </w:r>
          </w:p>
          <w:p w14:paraId="2731E261" w14:textId="77777777" w:rsidR="008D4804" w:rsidRDefault="008D4804" w:rsidP="009D1E41">
            <w:pPr>
              <w:shd w:val="clear" w:color="auto" w:fill="FFFFFF" w:themeFill="background1"/>
              <w:jc w:val="both"/>
              <w:rPr>
                <w:rFonts w:ascii="Arial" w:hAnsi="Arial" w:cs="Arial"/>
                <w:bCs/>
                <w:szCs w:val="18"/>
              </w:rPr>
            </w:pPr>
            <w:r>
              <w:rPr>
                <w:rFonts w:ascii="Arial" w:hAnsi="Arial" w:cs="Arial"/>
                <w:bCs/>
                <w:szCs w:val="18"/>
              </w:rPr>
              <w:t xml:space="preserve">a) Se entenderá por CTE los kilowatt-hora (kWh) totales de todas las fuentes energéticas consumidas de electricidad y de gas natural. Para su cálculo, la plataforma web </w:t>
            </w:r>
            <w:r w:rsidRPr="004B6832">
              <w:rPr>
                <w:rFonts w:ascii="Arial" w:hAnsi="Arial" w:cs="Arial"/>
                <w:bCs/>
                <w:szCs w:val="18"/>
              </w:rPr>
              <w:t>www.gestionaenergia.cl</w:t>
            </w:r>
            <w:r>
              <w:rPr>
                <w:rFonts w:ascii="Arial" w:hAnsi="Arial" w:cs="Arial"/>
                <w:bCs/>
                <w:szCs w:val="18"/>
              </w:rPr>
              <w:t xml:space="preserve"> que dispondrá la Subsecretaría de Energía, </w:t>
            </w:r>
            <w:r w:rsidR="00BE2EF0">
              <w:rPr>
                <w:rFonts w:ascii="Arial" w:hAnsi="Arial" w:cs="Arial"/>
                <w:bCs/>
                <w:szCs w:val="18"/>
              </w:rPr>
              <w:t>realizará la conversión a kWh.</w:t>
            </w:r>
          </w:p>
          <w:p w14:paraId="3FC66780" w14:textId="77777777" w:rsidR="00BE2EF0" w:rsidRDefault="00BE2EF0" w:rsidP="009D1E41">
            <w:pPr>
              <w:shd w:val="clear" w:color="auto" w:fill="FFFFFF" w:themeFill="background1"/>
              <w:jc w:val="both"/>
              <w:rPr>
                <w:rFonts w:ascii="Arial" w:hAnsi="Arial" w:cs="Arial"/>
                <w:bCs/>
                <w:szCs w:val="18"/>
              </w:rPr>
            </w:pPr>
            <w:r>
              <w:rPr>
                <w:rFonts w:ascii="Arial" w:hAnsi="Arial" w:cs="Arial"/>
                <w:bCs/>
                <w:szCs w:val="18"/>
              </w:rPr>
              <w:t>b) Se entenderá por edificación: todo inmueble utilizado por el Servicio, excluyendo bodegas, estacionamientos y superficies no construidas.</w:t>
            </w:r>
          </w:p>
          <w:p w14:paraId="397D5F2F" w14:textId="77777777" w:rsidR="00E61CF1" w:rsidRDefault="00E61CF1" w:rsidP="009D1E41">
            <w:pPr>
              <w:shd w:val="clear" w:color="auto" w:fill="FFFFFF" w:themeFill="background1"/>
              <w:jc w:val="both"/>
              <w:rPr>
                <w:rFonts w:ascii="Arial" w:hAnsi="Arial" w:cs="Arial"/>
                <w:bCs/>
                <w:szCs w:val="18"/>
              </w:rPr>
            </w:pPr>
            <w:r>
              <w:rPr>
                <w:rFonts w:ascii="Arial" w:hAnsi="Arial" w:cs="Arial"/>
                <w:bCs/>
                <w:szCs w:val="18"/>
              </w:rPr>
              <w:t>2. La ST corresponde a los metros cuadrados del conjunto de edificaciones que cada servicio utilice durante el año t.</w:t>
            </w:r>
          </w:p>
          <w:p w14:paraId="19B96512" w14:textId="77777777" w:rsidR="00E61CF1" w:rsidRDefault="00E61CF1" w:rsidP="009D1E41">
            <w:pPr>
              <w:shd w:val="clear" w:color="auto" w:fill="FFFFFF" w:themeFill="background1"/>
              <w:jc w:val="both"/>
              <w:rPr>
                <w:rFonts w:ascii="Arial" w:hAnsi="Arial" w:cs="Arial"/>
                <w:bCs/>
                <w:szCs w:val="18"/>
              </w:rPr>
            </w:pPr>
            <w:r>
              <w:rPr>
                <w:rFonts w:ascii="Arial" w:hAnsi="Arial" w:cs="Arial"/>
                <w:bCs/>
                <w:szCs w:val="18"/>
              </w:rPr>
              <w:t xml:space="preserve">3. </w:t>
            </w:r>
            <w:r w:rsidR="00393414">
              <w:rPr>
                <w:rFonts w:ascii="Arial" w:hAnsi="Arial" w:cs="Arial"/>
                <w:bCs/>
                <w:szCs w:val="18"/>
              </w:rPr>
              <w:t>Cada Servicio deberá designar</w:t>
            </w:r>
            <w:r w:rsidR="00784771">
              <w:rPr>
                <w:rFonts w:ascii="Arial" w:hAnsi="Arial" w:cs="Arial"/>
                <w:bCs/>
                <w:szCs w:val="18"/>
              </w:rPr>
              <w:t>, o ratificar en caso de existir, con uno o más funcionarios/as acreditados por la Subsecretaría de Energía para la gestión de eficiencia energética:</w:t>
            </w:r>
          </w:p>
          <w:p w14:paraId="78671297" w14:textId="77777777" w:rsidR="00784771" w:rsidRDefault="00784771" w:rsidP="009D1E41">
            <w:pPr>
              <w:shd w:val="clear" w:color="auto" w:fill="FFFFFF" w:themeFill="background1"/>
              <w:jc w:val="both"/>
              <w:rPr>
                <w:rFonts w:ascii="Arial" w:hAnsi="Arial" w:cs="Arial"/>
                <w:bCs/>
                <w:szCs w:val="18"/>
              </w:rPr>
            </w:pPr>
            <w:r>
              <w:rPr>
                <w:rFonts w:ascii="Arial" w:hAnsi="Arial" w:cs="Arial"/>
                <w:bCs/>
                <w:szCs w:val="18"/>
              </w:rPr>
              <w:t>(1) Gestor Energético del Servicio.</w:t>
            </w:r>
          </w:p>
          <w:p w14:paraId="25412DC2" w14:textId="77777777" w:rsidR="00784771" w:rsidRDefault="00784771" w:rsidP="009D1E41">
            <w:pPr>
              <w:shd w:val="clear" w:color="auto" w:fill="FFFFFF" w:themeFill="background1"/>
              <w:jc w:val="both"/>
              <w:rPr>
                <w:rFonts w:ascii="Arial" w:hAnsi="Arial" w:cs="Arial"/>
                <w:bCs/>
                <w:szCs w:val="18"/>
              </w:rPr>
            </w:pPr>
            <w:r>
              <w:rPr>
                <w:rFonts w:ascii="Arial" w:hAnsi="Arial" w:cs="Arial"/>
                <w:bCs/>
                <w:szCs w:val="18"/>
              </w:rPr>
              <w:t xml:space="preserve">(2) gestor energético para cada edificio (o superficie) utilizado por el Servicio en el año t. </w:t>
            </w:r>
          </w:p>
          <w:p w14:paraId="50852B8A" w14:textId="77777777" w:rsidR="00784771" w:rsidRDefault="00784771" w:rsidP="009D1E41">
            <w:pPr>
              <w:shd w:val="clear" w:color="auto" w:fill="FFFFFF" w:themeFill="background1"/>
              <w:jc w:val="both"/>
              <w:rPr>
                <w:rFonts w:ascii="Arial" w:hAnsi="Arial" w:cs="Arial"/>
                <w:bCs/>
                <w:szCs w:val="18"/>
              </w:rPr>
            </w:pPr>
            <w:r>
              <w:rPr>
                <w:rFonts w:ascii="Arial" w:hAnsi="Arial" w:cs="Arial"/>
                <w:bCs/>
                <w:szCs w:val="18"/>
              </w:rPr>
              <w:t xml:space="preserve">Los gestores deberán registrarse en la plataforma web: </w:t>
            </w:r>
            <w:r w:rsidRPr="00784771">
              <w:rPr>
                <w:rFonts w:ascii="Arial" w:hAnsi="Arial" w:cs="Arial"/>
                <w:bCs/>
                <w:szCs w:val="18"/>
              </w:rPr>
              <w:t>www.gestionaenergia.cl</w:t>
            </w:r>
            <w:r>
              <w:rPr>
                <w:rFonts w:ascii="Arial" w:hAnsi="Arial" w:cs="Arial"/>
                <w:bCs/>
                <w:szCs w:val="18"/>
              </w:rPr>
              <w:t>, realizar y aprobar el curso: “gestión de energía en el sector público”, disponible en ella o subir el certificado de la Subsecretaría en caso de que ya haya realizado y aprobado el curso.</w:t>
            </w:r>
          </w:p>
          <w:p w14:paraId="1FE43297" w14:textId="77777777" w:rsidR="00784771" w:rsidRDefault="00784771" w:rsidP="009D1E41">
            <w:pPr>
              <w:shd w:val="clear" w:color="auto" w:fill="FFFFFF" w:themeFill="background1"/>
              <w:jc w:val="both"/>
              <w:rPr>
                <w:rFonts w:ascii="Arial" w:hAnsi="Arial" w:cs="Arial"/>
                <w:bCs/>
                <w:szCs w:val="18"/>
              </w:rPr>
            </w:pPr>
            <w:r>
              <w:rPr>
                <w:rFonts w:ascii="Arial" w:hAnsi="Arial" w:cs="Arial"/>
                <w:bCs/>
                <w:szCs w:val="18"/>
              </w:rPr>
              <w:t xml:space="preserve">4. Cada Servicio, a más tardar en abril del año t, deberá revisar en la plataforma web </w:t>
            </w:r>
            <w:r w:rsidRPr="00784771">
              <w:rPr>
                <w:rFonts w:ascii="Arial" w:hAnsi="Arial" w:cs="Arial"/>
                <w:bCs/>
                <w:szCs w:val="18"/>
              </w:rPr>
              <w:t>www.gestionaenergia.cl</w:t>
            </w:r>
            <w:r>
              <w:rPr>
                <w:rFonts w:ascii="Arial" w:hAnsi="Arial" w:cs="Arial"/>
                <w:bCs/>
                <w:szCs w:val="18"/>
              </w:rPr>
              <w:t xml:space="preserve"> el catastro de edificios y su superficie a utilizar en el año t, así como completar los números de identificación de todos los medidores de electricidad y gas natural asociados a los consumos de los referidos edificios. </w:t>
            </w:r>
            <w:r w:rsidR="00461DBD">
              <w:rPr>
                <w:rFonts w:ascii="Arial" w:hAnsi="Arial" w:cs="Arial"/>
                <w:bCs/>
                <w:szCs w:val="18"/>
              </w:rPr>
              <w:t xml:space="preserve">Se deben considerar todos los edificios utilizados por la institución, sean estos utilizados parcial o completamente, independiente de la condición de propiedad con la que cuenten y si estos son de uso permanente o transitorio. Se entenderá por uso transitorio si una institución, por ejemplo, permanece 6 meses en un edificio y luego se cambia a otro, dentro del período de medición. </w:t>
            </w:r>
          </w:p>
          <w:p w14:paraId="10757C16" w14:textId="77777777" w:rsidR="008D4804" w:rsidRPr="00490393" w:rsidRDefault="00461DBD" w:rsidP="003F791A">
            <w:pPr>
              <w:shd w:val="clear" w:color="auto" w:fill="FFFFFF" w:themeFill="background1"/>
              <w:jc w:val="both"/>
              <w:rPr>
                <w:rFonts w:ascii="Arial" w:hAnsi="Arial" w:cs="Arial"/>
                <w:bCs/>
                <w:szCs w:val="18"/>
              </w:rPr>
            </w:pPr>
            <w:r>
              <w:rPr>
                <w:rFonts w:ascii="Arial" w:hAnsi="Arial" w:cs="Arial"/>
                <w:bCs/>
                <w:szCs w:val="18"/>
              </w:rPr>
              <w:t xml:space="preserve">5. Cada Servicio, al 31 de diciembre del año t, deberá haber reportado en la plataforma web </w:t>
            </w:r>
            <w:r w:rsidRPr="00461DBD">
              <w:rPr>
                <w:rFonts w:ascii="Arial" w:hAnsi="Arial" w:cs="Arial"/>
                <w:bCs/>
                <w:szCs w:val="18"/>
              </w:rPr>
              <w:t>www.gestionaenergia.cl</w:t>
            </w:r>
            <w:r>
              <w:rPr>
                <w:rFonts w:ascii="Arial" w:hAnsi="Arial" w:cs="Arial"/>
                <w:bCs/>
                <w:szCs w:val="18"/>
              </w:rPr>
              <w:t xml:space="preserve">, sus consumos energéticos de electricidad y gas natural de al menos 6 meses en el año t, los cuales pueden ser continuos o discontinuos. Se deberá registrar el consumo y cargar en la plataforma web el documento de la empresa respectivo donde se verifique dicho consumo, digitalizado (boleta, factura electrónica, documento de la empresa correspondiente de electricidad y gas natural a diciembre </w:t>
            </w:r>
            <w:r w:rsidR="00581637">
              <w:rPr>
                <w:rFonts w:ascii="Arial" w:hAnsi="Arial" w:cs="Arial"/>
                <w:bCs/>
                <w:szCs w:val="18"/>
              </w:rPr>
              <w:t>año t).</w:t>
            </w:r>
          </w:p>
        </w:tc>
      </w:tr>
      <w:tr w:rsidR="009D1E41" w:rsidRPr="00007E1F" w14:paraId="294656AB" w14:textId="77777777" w:rsidTr="00FF1EE9">
        <w:trPr>
          <w:cantSplit/>
          <w:trHeight w:val="1115"/>
          <w:jc w:val="center"/>
        </w:trPr>
        <w:tc>
          <w:tcPr>
            <w:tcW w:w="568" w:type="dxa"/>
            <w:shd w:val="clear" w:color="000000" w:fill="FFFFFF"/>
            <w:vAlign w:val="center"/>
          </w:tcPr>
          <w:p w14:paraId="7E8415E4" w14:textId="77777777" w:rsidR="009D1E41" w:rsidRDefault="009D1E41" w:rsidP="009D1E41">
            <w:pPr>
              <w:jc w:val="center"/>
              <w:rPr>
                <w:rFonts w:ascii="Arial" w:hAnsi="Arial" w:cs="Arial"/>
                <w:b/>
                <w:sz w:val="22"/>
                <w:szCs w:val="18"/>
              </w:rPr>
            </w:pPr>
            <w:r>
              <w:rPr>
                <w:rFonts w:ascii="Arial" w:hAnsi="Arial" w:cs="Arial"/>
                <w:b/>
                <w:sz w:val="22"/>
                <w:szCs w:val="18"/>
              </w:rPr>
              <w:lastRenderedPageBreak/>
              <w:t>9</w:t>
            </w:r>
          </w:p>
        </w:tc>
        <w:tc>
          <w:tcPr>
            <w:tcW w:w="1832" w:type="dxa"/>
            <w:shd w:val="clear" w:color="000000" w:fill="FFFFFF"/>
            <w:vAlign w:val="center"/>
          </w:tcPr>
          <w:p w14:paraId="2C48B52E" w14:textId="77777777" w:rsidR="009D1E41" w:rsidRDefault="00581637" w:rsidP="009D1E41">
            <w:pPr>
              <w:shd w:val="clear" w:color="auto" w:fill="FFFFFF" w:themeFill="background1"/>
              <w:jc w:val="both"/>
              <w:rPr>
                <w:rFonts w:ascii="Arial" w:hAnsi="Arial" w:cs="Arial"/>
                <w:szCs w:val="18"/>
              </w:rPr>
            </w:pPr>
            <w:r>
              <w:rPr>
                <w:rFonts w:ascii="Arial" w:hAnsi="Arial" w:cs="Arial"/>
                <w:szCs w:val="18"/>
              </w:rPr>
              <w:t xml:space="preserve">Porcentaje de trámites digitalizados al año t respecto del total de trámites identificados en el catastro de trámites del año t-1. </w:t>
            </w:r>
          </w:p>
        </w:tc>
        <w:tc>
          <w:tcPr>
            <w:tcW w:w="1984" w:type="dxa"/>
            <w:shd w:val="clear" w:color="000000" w:fill="FFFFFF"/>
            <w:vAlign w:val="center"/>
          </w:tcPr>
          <w:p w14:paraId="7C5B682B" w14:textId="77777777" w:rsidR="009D1E41" w:rsidRDefault="00581637" w:rsidP="009D1E41">
            <w:pPr>
              <w:shd w:val="clear" w:color="auto" w:fill="FFFFFF" w:themeFill="background1"/>
              <w:jc w:val="both"/>
              <w:rPr>
                <w:rFonts w:ascii="Arial" w:hAnsi="Arial" w:cs="Arial"/>
                <w:szCs w:val="18"/>
              </w:rPr>
            </w:pPr>
            <w:r>
              <w:rPr>
                <w:rFonts w:ascii="Arial" w:hAnsi="Arial" w:cs="Arial"/>
                <w:szCs w:val="18"/>
              </w:rPr>
              <w:t>(N° de trámites digitalizados al año t/ N° total  de trámites identificados en catastro de trámites del año t-1)*100</w:t>
            </w:r>
          </w:p>
        </w:tc>
        <w:tc>
          <w:tcPr>
            <w:tcW w:w="1276" w:type="dxa"/>
            <w:shd w:val="clear" w:color="000000" w:fill="FFFFFF"/>
            <w:vAlign w:val="center"/>
          </w:tcPr>
          <w:p w14:paraId="59B83E3E" w14:textId="77777777" w:rsidR="009D1E41" w:rsidRDefault="00581637" w:rsidP="009D1E41">
            <w:pPr>
              <w:jc w:val="center"/>
              <w:rPr>
                <w:rFonts w:ascii="Arial" w:hAnsi="Arial" w:cs="Arial"/>
                <w:color w:val="000000"/>
                <w:szCs w:val="16"/>
              </w:rPr>
            </w:pPr>
            <w:r>
              <w:rPr>
                <w:rFonts w:ascii="Arial" w:hAnsi="Arial" w:cs="Arial"/>
                <w:color w:val="000000"/>
                <w:szCs w:val="16"/>
              </w:rPr>
              <w:t>N/A</w:t>
            </w:r>
          </w:p>
        </w:tc>
        <w:tc>
          <w:tcPr>
            <w:tcW w:w="851" w:type="dxa"/>
            <w:shd w:val="clear" w:color="auto" w:fill="FFFFFF"/>
            <w:vAlign w:val="center"/>
          </w:tcPr>
          <w:p w14:paraId="0C38BDD9" w14:textId="77777777" w:rsidR="009D1E41" w:rsidRDefault="00581637" w:rsidP="009D1E41">
            <w:pPr>
              <w:jc w:val="center"/>
              <w:rPr>
                <w:rFonts w:ascii="Arial" w:hAnsi="Arial" w:cs="Arial"/>
                <w:szCs w:val="18"/>
              </w:rPr>
            </w:pPr>
            <w:r>
              <w:rPr>
                <w:rFonts w:ascii="Arial" w:hAnsi="Arial" w:cs="Arial"/>
                <w:szCs w:val="18"/>
              </w:rPr>
              <w:t>N/A</w:t>
            </w:r>
          </w:p>
        </w:tc>
        <w:tc>
          <w:tcPr>
            <w:tcW w:w="708" w:type="dxa"/>
            <w:shd w:val="clear" w:color="000000" w:fill="FFFFFF"/>
            <w:vAlign w:val="center"/>
          </w:tcPr>
          <w:p w14:paraId="77D7E1D4" w14:textId="77777777" w:rsidR="009D1E41" w:rsidRDefault="00581637" w:rsidP="009D1E41">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2FFF8478" w14:textId="77777777" w:rsidR="009D1E41" w:rsidRDefault="00581637" w:rsidP="009D1E41">
            <w:pPr>
              <w:jc w:val="center"/>
              <w:rPr>
                <w:rFonts w:ascii="Arial" w:hAnsi="Arial" w:cs="Arial"/>
                <w:b/>
                <w:szCs w:val="18"/>
              </w:rPr>
            </w:pPr>
            <w:r>
              <w:rPr>
                <w:rFonts w:ascii="Arial" w:hAnsi="Arial" w:cs="Arial"/>
                <w:b/>
                <w:szCs w:val="18"/>
              </w:rPr>
              <w:t>N/A</w:t>
            </w:r>
          </w:p>
        </w:tc>
        <w:tc>
          <w:tcPr>
            <w:tcW w:w="1134" w:type="dxa"/>
            <w:gridSpan w:val="2"/>
            <w:shd w:val="clear" w:color="000000" w:fill="FFFFFF"/>
            <w:vAlign w:val="center"/>
          </w:tcPr>
          <w:p w14:paraId="7889AC35" w14:textId="77777777" w:rsidR="009D1E41" w:rsidRDefault="00581637" w:rsidP="009D1E41">
            <w:pPr>
              <w:jc w:val="center"/>
              <w:rPr>
                <w:rFonts w:ascii="Arial" w:hAnsi="Arial" w:cs="Arial"/>
                <w:b/>
                <w:szCs w:val="18"/>
              </w:rPr>
            </w:pPr>
            <w:r>
              <w:rPr>
                <w:rFonts w:ascii="Arial" w:hAnsi="Arial" w:cs="Arial"/>
                <w:b/>
                <w:szCs w:val="18"/>
              </w:rPr>
              <w:t>N/A</w:t>
            </w:r>
          </w:p>
        </w:tc>
        <w:tc>
          <w:tcPr>
            <w:tcW w:w="8929" w:type="dxa"/>
            <w:shd w:val="clear" w:color="000000" w:fill="FFFFFF"/>
            <w:vAlign w:val="center"/>
          </w:tcPr>
          <w:p w14:paraId="54A06B6F" w14:textId="566FDE43" w:rsidR="009D1E41" w:rsidRPr="006A48DF" w:rsidRDefault="00873068" w:rsidP="009D1E41">
            <w:pPr>
              <w:shd w:val="clear" w:color="auto" w:fill="FFFFFF" w:themeFill="background1"/>
              <w:jc w:val="both"/>
              <w:rPr>
                <w:rFonts w:ascii="Arial" w:hAnsi="Arial" w:cs="Arial"/>
                <w:bCs/>
                <w:szCs w:val="18"/>
              </w:rPr>
            </w:pPr>
            <w:r w:rsidRPr="00873068">
              <w:rPr>
                <w:rFonts w:ascii="Arial" w:hAnsi="Arial" w:cs="Arial"/>
                <w:bCs/>
                <w:szCs w:val="18"/>
              </w:rPr>
              <w:t xml:space="preserve">1. Catastro de Trámites del Estado: base de datos de trámites de los órganos de la administración del Estado que permite caracterizarlos de acuerdo a: i) identificación de la institución; ii) nombre del trámite; iii) descripción; iv) nivel de digitalización; v) URL operativa; vi) integración de clave única; vii) tarifa del trámite y viii) registro de uso por canal de atención. El catastro de trámites del Estado será publicado el 31 de diciembre del año t-1, en el www.observatoriodigital.gob.cl. 2. Trámites: se entenderá como el proceso de una o más interacciones, entre una persona natural o jurídica y un Organismo Público. Surge por una solicitud expresa de la persona natural o jurídica, o como consecuencia de un proceso interno del Estado, dando origen a acciones o tareas para la institución, cuyo resultado podrá consistir en distintos tipos de operaciones. 3. Canales de Atención: corresponde a los espacios presenciales, no presenciales y virtuales a través de los cuales se realizan operaciones, esto es; prestación de servicios, información o transacción entre una persona natural o jurídica y las instituciones públicas (canal digital, presencial y/o telefónico). 4. Se entenderá un Trámite con Registro de Uso (operaciones) cuando la contabilización del total de trámites realizados por el canal de atención es registrado en la página web dispuesta por SEGPRES. Para acreditar lo anterior, la institución debe entregar información de dicha contabilización, según los canales de atención que corresponda (canal digital, presencial y/o telefónico). Sólo serán considerados en el numerador, los trámites con registro de uso en que su contabilización entregada por la institución corresponda al menos al 50% del total de operaciones del trámite. En los casos en que la institución: </w:t>
            </w:r>
            <w:r w:rsidRPr="00873068">
              <w:rPr>
                <w:rFonts w:ascii="Arial" w:hAnsi="Arial" w:cs="Arial"/>
                <w:bCs/>
                <w:szCs w:val="18"/>
              </w:rPr>
              <w:sym w:font="Symbol" w:char="F0B7"/>
            </w:r>
            <w:r w:rsidRPr="00873068">
              <w:rPr>
                <w:rFonts w:ascii="Arial" w:hAnsi="Arial" w:cs="Arial"/>
                <w:bCs/>
                <w:szCs w:val="18"/>
              </w:rPr>
              <w:t xml:space="preserve"> En algún (os) de su (s) trámites, no tenga registro de uso en los canales disponibles, deberá indicar que ‘no posee registro’, y justificar. En algún (os) de su (s) trámites, no exista alguno de los canales de atención, deberá indicar ‘no aplica’. </w:t>
            </w:r>
            <w:r w:rsidRPr="00873068">
              <w:rPr>
                <w:rFonts w:ascii="Arial" w:hAnsi="Arial" w:cs="Arial"/>
                <w:bCs/>
                <w:szCs w:val="18"/>
              </w:rPr>
              <w:sym w:font="Symbol" w:char="F0B7"/>
            </w:r>
            <w:r w:rsidRPr="00873068">
              <w:rPr>
                <w:rFonts w:ascii="Arial" w:hAnsi="Arial" w:cs="Arial"/>
                <w:bCs/>
                <w:szCs w:val="18"/>
              </w:rPr>
              <w:t xml:space="preserve"> En algún (os) de su (s) trámites, no tenga la contabilización de registro de uso, deberá indicar ‘0’. 5. El indicador se entenderá informado a la Red de Expertos si el servicio ingresa la información en la página web dispuesta por SEGPRES, al 31 de diciembre de 2018.</w:t>
            </w:r>
          </w:p>
        </w:tc>
      </w:tr>
    </w:tbl>
    <w:p w14:paraId="68787272" w14:textId="77777777" w:rsidR="002F0F61" w:rsidRDefault="002F0F61"/>
    <w:p w14:paraId="6FCB5DE5" w14:textId="77777777" w:rsidR="00AF0D14" w:rsidRDefault="00AF0D14"/>
    <w:p w14:paraId="67DE1C44" w14:textId="77777777" w:rsidR="008011BC" w:rsidRDefault="008011BC"/>
    <w:p w14:paraId="4EEF4321" w14:textId="77777777" w:rsidR="008011BC" w:rsidRDefault="008011BC"/>
    <w:p w14:paraId="4BEF2E71" w14:textId="77777777" w:rsidR="008011BC" w:rsidRDefault="008011BC"/>
    <w:p w14:paraId="31D57CA5" w14:textId="77777777" w:rsidR="008011BC" w:rsidRDefault="008011BC"/>
    <w:p w14:paraId="661B8661" w14:textId="77777777" w:rsidR="008011BC" w:rsidRDefault="008011BC"/>
    <w:p w14:paraId="48FF192B" w14:textId="77777777" w:rsidR="008011BC" w:rsidRDefault="008011BC"/>
    <w:p w14:paraId="7D756FF8" w14:textId="77777777" w:rsidR="008011BC" w:rsidRDefault="008011BC"/>
    <w:p w14:paraId="1D5565C5" w14:textId="77777777" w:rsidR="008011BC" w:rsidRDefault="008011BC"/>
    <w:p w14:paraId="702E06F6" w14:textId="77777777" w:rsidR="008011BC" w:rsidRDefault="008011BC"/>
    <w:p w14:paraId="30CE07C0" w14:textId="77777777" w:rsidR="008011BC" w:rsidRDefault="008011BC"/>
    <w:p w14:paraId="1E0ED116" w14:textId="77777777" w:rsidR="003A26E4" w:rsidRDefault="003A26E4"/>
    <w:sectPr w:rsidR="003A26E4" w:rsidSect="00CB7B82">
      <w:footerReference w:type="default" r:id="rId9"/>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D039" w14:textId="77777777" w:rsidR="00A50639" w:rsidRDefault="00A50639" w:rsidP="00B36C93">
      <w:r>
        <w:separator/>
      </w:r>
    </w:p>
  </w:endnote>
  <w:endnote w:type="continuationSeparator" w:id="0">
    <w:p w14:paraId="72D17AEE" w14:textId="77777777" w:rsidR="00A50639" w:rsidRDefault="00A50639" w:rsidP="00B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25118204"/>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365C407B" w14:textId="77777777" w:rsidR="00676B84" w:rsidRPr="00D53289" w:rsidRDefault="00676B84">
            <w:pPr>
              <w:pStyle w:val="Piedepgina"/>
              <w:jc w:val="center"/>
              <w:rPr>
                <w:sz w:val="22"/>
              </w:rPr>
            </w:pPr>
            <w:r w:rsidRPr="00D53289">
              <w:rPr>
                <w:sz w:val="22"/>
              </w:rPr>
              <w:t xml:space="preserve">Página </w:t>
            </w:r>
            <w:r w:rsidRPr="00D53289">
              <w:rPr>
                <w:b/>
                <w:bCs/>
                <w:sz w:val="28"/>
                <w:szCs w:val="24"/>
              </w:rPr>
              <w:fldChar w:fldCharType="begin"/>
            </w:r>
            <w:r w:rsidRPr="00D53289">
              <w:rPr>
                <w:b/>
                <w:bCs/>
                <w:sz w:val="22"/>
              </w:rPr>
              <w:instrText>PAGE</w:instrText>
            </w:r>
            <w:r w:rsidRPr="00D53289">
              <w:rPr>
                <w:b/>
                <w:bCs/>
                <w:sz w:val="28"/>
                <w:szCs w:val="24"/>
              </w:rPr>
              <w:fldChar w:fldCharType="separate"/>
            </w:r>
            <w:r w:rsidR="008E1461">
              <w:rPr>
                <w:b/>
                <w:bCs/>
                <w:noProof/>
                <w:sz w:val="22"/>
              </w:rPr>
              <w:t>1</w:t>
            </w:r>
            <w:r w:rsidRPr="00D53289">
              <w:rPr>
                <w:b/>
                <w:bCs/>
                <w:sz w:val="28"/>
                <w:szCs w:val="24"/>
              </w:rPr>
              <w:fldChar w:fldCharType="end"/>
            </w:r>
            <w:r w:rsidRPr="00D53289">
              <w:rPr>
                <w:sz w:val="22"/>
              </w:rPr>
              <w:t xml:space="preserve"> de </w:t>
            </w:r>
            <w:r w:rsidRPr="00D53289">
              <w:rPr>
                <w:b/>
                <w:bCs/>
                <w:sz w:val="28"/>
                <w:szCs w:val="24"/>
              </w:rPr>
              <w:fldChar w:fldCharType="begin"/>
            </w:r>
            <w:r w:rsidRPr="00D53289">
              <w:rPr>
                <w:b/>
                <w:bCs/>
                <w:sz w:val="22"/>
              </w:rPr>
              <w:instrText>NUMPAGES</w:instrText>
            </w:r>
            <w:r w:rsidRPr="00D53289">
              <w:rPr>
                <w:b/>
                <w:bCs/>
                <w:sz w:val="28"/>
                <w:szCs w:val="24"/>
              </w:rPr>
              <w:fldChar w:fldCharType="separate"/>
            </w:r>
            <w:r w:rsidR="008E1461">
              <w:rPr>
                <w:b/>
                <w:bCs/>
                <w:noProof/>
                <w:sz w:val="22"/>
              </w:rPr>
              <w:t>15</w:t>
            </w:r>
            <w:r w:rsidRPr="00D53289">
              <w:rPr>
                <w:b/>
                <w:bCs/>
                <w:sz w:val="28"/>
                <w:szCs w:val="24"/>
              </w:rPr>
              <w:fldChar w:fldCharType="end"/>
            </w:r>
          </w:p>
        </w:sdtContent>
      </w:sdt>
    </w:sdtContent>
  </w:sdt>
  <w:p w14:paraId="0C227A5D" w14:textId="77777777" w:rsidR="00676B84" w:rsidRDefault="00676B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7877" w14:textId="77777777" w:rsidR="00A50639" w:rsidRDefault="00A50639" w:rsidP="00B36C93">
      <w:r>
        <w:separator/>
      </w:r>
    </w:p>
  </w:footnote>
  <w:footnote w:type="continuationSeparator" w:id="0">
    <w:p w14:paraId="2712CFC9" w14:textId="77777777" w:rsidR="00A50639" w:rsidRDefault="00A50639" w:rsidP="00B36C93">
      <w:r>
        <w:continuationSeparator/>
      </w:r>
    </w:p>
  </w:footnote>
  <w:footnote w:id="1">
    <w:p w14:paraId="6C9D5FE4" w14:textId="77777777" w:rsidR="00676B84" w:rsidRPr="00F81C02" w:rsidRDefault="00676B84">
      <w:pPr>
        <w:pStyle w:val="Textonotapie"/>
        <w:rPr>
          <w:rFonts w:ascii="Arial" w:hAnsi="Arial" w:cs="Arial"/>
        </w:rPr>
      </w:pPr>
      <w:r w:rsidRPr="00F81C02">
        <w:rPr>
          <w:rStyle w:val="Refdenotaalpie"/>
          <w:rFonts w:ascii="Arial" w:hAnsi="Arial" w:cs="Arial"/>
        </w:rPr>
        <w:footnoteRef/>
      </w:r>
      <w:r w:rsidRPr="00F81C02">
        <w:rPr>
          <w:rFonts w:ascii="Arial" w:hAnsi="Arial" w:cs="Arial"/>
        </w:rP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2">
    <w:p w14:paraId="6C74AD6E" w14:textId="77777777" w:rsidR="00676B84" w:rsidRPr="001D596C" w:rsidRDefault="00676B84">
      <w:pPr>
        <w:pStyle w:val="Textonotapie"/>
        <w:rPr>
          <w:rFonts w:ascii="Arial" w:hAnsi="Arial" w:cs="Arial"/>
          <w:sz w:val="18"/>
          <w:szCs w:val="18"/>
          <w:lang w:val="es-CL"/>
        </w:rPr>
      </w:pPr>
      <w:r w:rsidRPr="001D596C">
        <w:rPr>
          <w:rStyle w:val="Refdenotaalpie"/>
          <w:rFonts w:ascii="Arial" w:hAnsi="Arial" w:cs="Arial"/>
          <w:sz w:val="18"/>
          <w:szCs w:val="18"/>
        </w:rPr>
        <w:footnoteRef/>
      </w:r>
      <w:r w:rsidRPr="001D596C">
        <w:rPr>
          <w:rFonts w:ascii="Arial" w:hAnsi="Arial" w:cs="Arial"/>
          <w:sz w:val="18"/>
          <w:szCs w:val="18"/>
        </w:rPr>
        <w:t xml:space="preserve"> </w:t>
      </w:r>
      <w:r w:rsidRPr="00676B84">
        <w:rPr>
          <w:rFonts w:ascii="Arial" w:hAnsi="Arial" w:cs="Arial"/>
          <w:sz w:val="16"/>
          <w:szCs w:val="16"/>
          <w:lang w:val="es-CL"/>
        </w:rPr>
        <w:t>No Aplica. El Objetivo 2 consiste únicamente en medir e informar correctamente los datos efectivos de Indicadores Transversales,  los cuales no tienen una meta asociada.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81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410A3B"/>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A32F3C"/>
    <w:multiLevelType w:val="multilevel"/>
    <w:tmpl w:val="DA822EA0"/>
    <w:lvl w:ilvl="0">
      <w:start w:val="1"/>
      <w:numFmt w:val="lowerLetter"/>
      <w:lvlText w:val="%1)"/>
      <w:lvlJc w:val="righ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D231E2"/>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6538BB"/>
    <w:multiLevelType w:val="hybridMultilevel"/>
    <w:tmpl w:val="B2469F36"/>
    <w:lvl w:ilvl="0" w:tplc="DD16514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1B7F8E"/>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747902"/>
    <w:multiLevelType w:val="hybridMultilevel"/>
    <w:tmpl w:val="E6BC4AAC"/>
    <w:lvl w:ilvl="0" w:tplc="A712DAD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7A2DD5"/>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2DC59CE"/>
    <w:multiLevelType w:val="hybridMultilevel"/>
    <w:tmpl w:val="3F5865F2"/>
    <w:lvl w:ilvl="0" w:tplc="74E03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F2B04AF"/>
    <w:multiLevelType w:val="hybridMultilevel"/>
    <w:tmpl w:val="312CDA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4C924C81"/>
    <w:multiLevelType w:val="multilevel"/>
    <w:tmpl w:val="B63E0320"/>
    <w:lvl w:ilvl="0">
      <w:start w:val="1"/>
      <w:numFmt w:val="upperRoman"/>
      <w:lvlText w:val="%1."/>
      <w:lvlJc w:val="left"/>
      <w:pPr>
        <w:tabs>
          <w:tab w:val="num" w:pos="6960"/>
        </w:tabs>
      </w:pPr>
      <w:rPr>
        <w:rFonts w:cs="Times New Roman" w:hint="default"/>
      </w:rPr>
    </w:lvl>
    <w:lvl w:ilvl="1">
      <w:start w:val="1"/>
      <w:numFmt w:val="decimal"/>
      <w:lvlText w:val="%2."/>
      <w:lvlJc w:val="left"/>
      <w:pPr>
        <w:tabs>
          <w:tab w:val="num" w:pos="644"/>
        </w:tabs>
        <w:ind w:left="644" w:hanging="360"/>
      </w:pPr>
      <w:rPr>
        <w:rFonts w:ascii="Arial" w:eastAsia="Times New Roman" w:hAnsi="Arial" w:cs="Arial"/>
        <w:b w:val="0"/>
        <w:i w:val="0"/>
        <w:color w:val="auto"/>
        <w:sz w:val="16"/>
        <w:szCs w:val="16"/>
      </w:rPr>
    </w:lvl>
    <w:lvl w:ilvl="2">
      <w:start w:val="1"/>
      <w:numFmt w:val="decimal"/>
      <w:pStyle w:val="Ttulo3"/>
      <w:lvlText w:val="%2.%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11" w15:restartNumberingAfterBreak="0">
    <w:nsid w:val="56B51A01"/>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9FE1B89"/>
    <w:multiLevelType w:val="multilevel"/>
    <w:tmpl w:val="1FAEA774"/>
    <w:lvl w:ilvl="0">
      <w:start w:val="1"/>
      <w:numFmt w:val="lowerLetter"/>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EB2EB2"/>
    <w:multiLevelType w:val="hybridMultilevel"/>
    <w:tmpl w:val="3186458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701A6FC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2A02421"/>
    <w:multiLevelType w:val="hybridMultilevel"/>
    <w:tmpl w:val="162294D4"/>
    <w:lvl w:ilvl="0" w:tplc="F60834CE">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F8A2BA0"/>
    <w:multiLevelType w:val="hybridMultilevel"/>
    <w:tmpl w:val="B178F7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2"/>
  </w:num>
  <w:num w:numId="6">
    <w:abstractNumId w:val="12"/>
  </w:num>
  <w:num w:numId="7">
    <w:abstractNumId w:val="13"/>
  </w:num>
  <w:num w:numId="8">
    <w:abstractNumId w:val="3"/>
  </w:num>
  <w:num w:numId="9">
    <w:abstractNumId w:val="5"/>
  </w:num>
  <w:num w:numId="10">
    <w:abstractNumId w:val="15"/>
  </w:num>
  <w:num w:numId="11">
    <w:abstractNumId w:val="9"/>
  </w:num>
  <w:num w:numId="12">
    <w:abstractNumId w:val="7"/>
  </w:num>
  <w:num w:numId="13">
    <w:abstractNumId w:val="11"/>
  </w:num>
  <w:num w:numId="14">
    <w:abstractNumId w:val="14"/>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2"/>
    <w:rsid w:val="000063BF"/>
    <w:rsid w:val="0001009D"/>
    <w:rsid w:val="00011FAB"/>
    <w:rsid w:val="00013DFB"/>
    <w:rsid w:val="0002548E"/>
    <w:rsid w:val="0002610F"/>
    <w:rsid w:val="00031549"/>
    <w:rsid w:val="000450C4"/>
    <w:rsid w:val="000470D8"/>
    <w:rsid w:val="000473DB"/>
    <w:rsid w:val="00051653"/>
    <w:rsid w:val="00055A4C"/>
    <w:rsid w:val="00055D33"/>
    <w:rsid w:val="00057F7D"/>
    <w:rsid w:val="000709B5"/>
    <w:rsid w:val="00086F84"/>
    <w:rsid w:val="000A5EF6"/>
    <w:rsid w:val="000B4B24"/>
    <w:rsid w:val="000C3EA7"/>
    <w:rsid w:val="000C401C"/>
    <w:rsid w:val="000D3021"/>
    <w:rsid w:val="000D7233"/>
    <w:rsid w:val="000F58A4"/>
    <w:rsid w:val="001004B2"/>
    <w:rsid w:val="00101AB7"/>
    <w:rsid w:val="00103C42"/>
    <w:rsid w:val="00104CE0"/>
    <w:rsid w:val="00120621"/>
    <w:rsid w:val="00130AD8"/>
    <w:rsid w:val="00136B58"/>
    <w:rsid w:val="00140AE3"/>
    <w:rsid w:val="001426FF"/>
    <w:rsid w:val="00156EB0"/>
    <w:rsid w:val="00185AEB"/>
    <w:rsid w:val="00192BDF"/>
    <w:rsid w:val="0019695D"/>
    <w:rsid w:val="00197746"/>
    <w:rsid w:val="001D1093"/>
    <w:rsid w:val="001D596C"/>
    <w:rsid w:val="001E3331"/>
    <w:rsid w:val="001E5727"/>
    <w:rsid w:val="001F4643"/>
    <w:rsid w:val="001F578C"/>
    <w:rsid w:val="001F6D1C"/>
    <w:rsid w:val="00203988"/>
    <w:rsid w:val="002223B4"/>
    <w:rsid w:val="0023272C"/>
    <w:rsid w:val="002340FA"/>
    <w:rsid w:val="00234986"/>
    <w:rsid w:val="00242FE2"/>
    <w:rsid w:val="00245E28"/>
    <w:rsid w:val="002558A6"/>
    <w:rsid w:val="00267394"/>
    <w:rsid w:val="00274FA0"/>
    <w:rsid w:val="00285CE3"/>
    <w:rsid w:val="00286094"/>
    <w:rsid w:val="00293334"/>
    <w:rsid w:val="002A1145"/>
    <w:rsid w:val="002C0030"/>
    <w:rsid w:val="002C0A34"/>
    <w:rsid w:val="002F0F61"/>
    <w:rsid w:val="002F55F7"/>
    <w:rsid w:val="002F75FE"/>
    <w:rsid w:val="003016C0"/>
    <w:rsid w:val="00305DA2"/>
    <w:rsid w:val="00314873"/>
    <w:rsid w:val="00324581"/>
    <w:rsid w:val="00350755"/>
    <w:rsid w:val="00354EA1"/>
    <w:rsid w:val="003566C0"/>
    <w:rsid w:val="0036345D"/>
    <w:rsid w:val="00366FA9"/>
    <w:rsid w:val="003769A9"/>
    <w:rsid w:val="00382F6A"/>
    <w:rsid w:val="00390D15"/>
    <w:rsid w:val="00393414"/>
    <w:rsid w:val="00395E36"/>
    <w:rsid w:val="003963F0"/>
    <w:rsid w:val="003A098F"/>
    <w:rsid w:val="003A120A"/>
    <w:rsid w:val="003A2019"/>
    <w:rsid w:val="003A26E4"/>
    <w:rsid w:val="003B3895"/>
    <w:rsid w:val="003E3B2D"/>
    <w:rsid w:val="003E4B8F"/>
    <w:rsid w:val="003E6E98"/>
    <w:rsid w:val="003F3F5C"/>
    <w:rsid w:val="003F791A"/>
    <w:rsid w:val="0040247C"/>
    <w:rsid w:val="004104C3"/>
    <w:rsid w:val="00413DA0"/>
    <w:rsid w:val="004175D8"/>
    <w:rsid w:val="00425526"/>
    <w:rsid w:val="004441C8"/>
    <w:rsid w:val="00447837"/>
    <w:rsid w:val="00452F41"/>
    <w:rsid w:val="00461DBD"/>
    <w:rsid w:val="00471834"/>
    <w:rsid w:val="00472543"/>
    <w:rsid w:val="00475433"/>
    <w:rsid w:val="00477B16"/>
    <w:rsid w:val="004812EF"/>
    <w:rsid w:val="00490393"/>
    <w:rsid w:val="00490DA1"/>
    <w:rsid w:val="00493ED0"/>
    <w:rsid w:val="00495422"/>
    <w:rsid w:val="004A3100"/>
    <w:rsid w:val="004A64E8"/>
    <w:rsid w:val="004B6832"/>
    <w:rsid w:val="004C127D"/>
    <w:rsid w:val="004D4599"/>
    <w:rsid w:val="00501D9D"/>
    <w:rsid w:val="00504AF5"/>
    <w:rsid w:val="005151D3"/>
    <w:rsid w:val="00537D6C"/>
    <w:rsid w:val="00545635"/>
    <w:rsid w:val="00564E5C"/>
    <w:rsid w:val="0057273B"/>
    <w:rsid w:val="00581637"/>
    <w:rsid w:val="00587F79"/>
    <w:rsid w:val="0059036B"/>
    <w:rsid w:val="005926F1"/>
    <w:rsid w:val="00592C80"/>
    <w:rsid w:val="005951D5"/>
    <w:rsid w:val="005C75A0"/>
    <w:rsid w:val="005E447B"/>
    <w:rsid w:val="0060129F"/>
    <w:rsid w:val="00611F41"/>
    <w:rsid w:val="00617EE0"/>
    <w:rsid w:val="0062065F"/>
    <w:rsid w:val="00627E69"/>
    <w:rsid w:val="0066376C"/>
    <w:rsid w:val="00665752"/>
    <w:rsid w:val="00667E62"/>
    <w:rsid w:val="00673AD7"/>
    <w:rsid w:val="00676B84"/>
    <w:rsid w:val="00692F5E"/>
    <w:rsid w:val="006933AE"/>
    <w:rsid w:val="00696A00"/>
    <w:rsid w:val="00697A89"/>
    <w:rsid w:val="006A1E34"/>
    <w:rsid w:val="006A236B"/>
    <w:rsid w:val="006A48DF"/>
    <w:rsid w:val="006A4AFD"/>
    <w:rsid w:val="006C27E5"/>
    <w:rsid w:val="006C6CD4"/>
    <w:rsid w:val="006D3693"/>
    <w:rsid w:val="006D6A84"/>
    <w:rsid w:val="006D7A7A"/>
    <w:rsid w:val="006E43C1"/>
    <w:rsid w:val="006E6654"/>
    <w:rsid w:val="0070093C"/>
    <w:rsid w:val="00711F4A"/>
    <w:rsid w:val="00715120"/>
    <w:rsid w:val="00715E0F"/>
    <w:rsid w:val="00724499"/>
    <w:rsid w:val="00732B2B"/>
    <w:rsid w:val="00742DCC"/>
    <w:rsid w:val="00746932"/>
    <w:rsid w:val="007514AD"/>
    <w:rsid w:val="00757561"/>
    <w:rsid w:val="00760CC3"/>
    <w:rsid w:val="007837B1"/>
    <w:rsid w:val="00784771"/>
    <w:rsid w:val="007972D4"/>
    <w:rsid w:val="007A1AAD"/>
    <w:rsid w:val="007A6F8C"/>
    <w:rsid w:val="007C05B0"/>
    <w:rsid w:val="007C7186"/>
    <w:rsid w:val="007D0CF3"/>
    <w:rsid w:val="007D6218"/>
    <w:rsid w:val="007E0C27"/>
    <w:rsid w:val="007F7B6C"/>
    <w:rsid w:val="008011BC"/>
    <w:rsid w:val="00805984"/>
    <w:rsid w:val="0080708D"/>
    <w:rsid w:val="00817603"/>
    <w:rsid w:val="00820362"/>
    <w:rsid w:val="00824D60"/>
    <w:rsid w:val="0083075A"/>
    <w:rsid w:val="008360B2"/>
    <w:rsid w:val="00837328"/>
    <w:rsid w:val="00845299"/>
    <w:rsid w:val="00850046"/>
    <w:rsid w:val="00851716"/>
    <w:rsid w:val="00857BAB"/>
    <w:rsid w:val="00864154"/>
    <w:rsid w:val="00867803"/>
    <w:rsid w:val="00873068"/>
    <w:rsid w:val="008D4804"/>
    <w:rsid w:val="008D5142"/>
    <w:rsid w:val="008D6416"/>
    <w:rsid w:val="008E1461"/>
    <w:rsid w:val="008F195E"/>
    <w:rsid w:val="008F52B9"/>
    <w:rsid w:val="009015A3"/>
    <w:rsid w:val="00903F5E"/>
    <w:rsid w:val="00912DBF"/>
    <w:rsid w:val="00927EC6"/>
    <w:rsid w:val="00934AB1"/>
    <w:rsid w:val="00934B51"/>
    <w:rsid w:val="009435DF"/>
    <w:rsid w:val="00946828"/>
    <w:rsid w:val="00951AA1"/>
    <w:rsid w:val="00964589"/>
    <w:rsid w:val="00967CD4"/>
    <w:rsid w:val="00967F91"/>
    <w:rsid w:val="00980BD1"/>
    <w:rsid w:val="00984EC9"/>
    <w:rsid w:val="00986404"/>
    <w:rsid w:val="00994FEF"/>
    <w:rsid w:val="00995415"/>
    <w:rsid w:val="009A5FA5"/>
    <w:rsid w:val="009D1E41"/>
    <w:rsid w:val="00A00E38"/>
    <w:rsid w:val="00A0335C"/>
    <w:rsid w:val="00A12D38"/>
    <w:rsid w:val="00A13B12"/>
    <w:rsid w:val="00A3330C"/>
    <w:rsid w:val="00A46D0C"/>
    <w:rsid w:val="00A50639"/>
    <w:rsid w:val="00A545B6"/>
    <w:rsid w:val="00A60614"/>
    <w:rsid w:val="00AA71A8"/>
    <w:rsid w:val="00AB13F0"/>
    <w:rsid w:val="00AB4B07"/>
    <w:rsid w:val="00AB5C4B"/>
    <w:rsid w:val="00AD21E6"/>
    <w:rsid w:val="00AD5E24"/>
    <w:rsid w:val="00AF0D14"/>
    <w:rsid w:val="00B06BD0"/>
    <w:rsid w:val="00B076A3"/>
    <w:rsid w:val="00B163BE"/>
    <w:rsid w:val="00B21601"/>
    <w:rsid w:val="00B36C93"/>
    <w:rsid w:val="00B4607B"/>
    <w:rsid w:val="00B461FB"/>
    <w:rsid w:val="00B54460"/>
    <w:rsid w:val="00B64DEE"/>
    <w:rsid w:val="00B72EC4"/>
    <w:rsid w:val="00B77B60"/>
    <w:rsid w:val="00B91440"/>
    <w:rsid w:val="00BD2D91"/>
    <w:rsid w:val="00BD3F2F"/>
    <w:rsid w:val="00BD711D"/>
    <w:rsid w:val="00BE2EF0"/>
    <w:rsid w:val="00BE5F98"/>
    <w:rsid w:val="00BF67BA"/>
    <w:rsid w:val="00C03063"/>
    <w:rsid w:val="00C130DF"/>
    <w:rsid w:val="00C1582D"/>
    <w:rsid w:val="00C32695"/>
    <w:rsid w:val="00C3502C"/>
    <w:rsid w:val="00C57C1E"/>
    <w:rsid w:val="00C84AFB"/>
    <w:rsid w:val="00C941B1"/>
    <w:rsid w:val="00CA18F9"/>
    <w:rsid w:val="00CA451C"/>
    <w:rsid w:val="00CB7B82"/>
    <w:rsid w:val="00CC4657"/>
    <w:rsid w:val="00CC565B"/>
    <w:rsid w:val="00CD251A"/>
    <w:rsid w:val="00CD3110"/>
    <w:rsid w:val="00CE2687"/>
    <w:rsid w:val="00CF2E8C"/>
    <w:rsid w:val="00D01187"/>
    <w:rsid w:val="00D12CAA"/>
    <w:rsid w:val="00D15A29"/>
    <w:rsid w:val="00D23C94"/>
    <w:rsid w:val="00D33557"/>
    <w:rsid w:val="00D438DA"/>
    <w:rsid w:val="00D51CFC"/>
    <w:rsid w:val="00D53289"/>
    <w:rsid w:val="00D538A8"/>
    <w:rsid w:val="00D80076"/>
    <w:rsid w:val="00D80872"/>
    <w:rsid w:val="00D8430D"/>
    <w:rsid w:val="00D92E51"/>
    <w:rsid w:val="00DA546F"/>
    <w:rsid w:val="00DA5BD1"/>
    <w:rsid w:val="00DB4E38"/>
    <w:rsid w:val="00DC0574"/>
    <w:rsid w:val="00DC0703"/>
    <w:rsid w:val="00DF3E44"/>
    <w:rsid w:val="00E27E27"/>
    <w:rsid w:val="00E43A5A"/>
    <w:rsid w:val="00E440D6"/>
    <w:rsid w:val="00E45815"/>
    <w:rsid w:val="00E52BD4"/>
    <w:rsid w:val="00E61CF1"/>
    <w:rsid w:val="00E6356A"/>
    <w:rsid w:val="00E63C72"/>
    <w:rsid w:val="00E72909"/>
    <w:rsid w:val="00E73C2B"/>
    <w:rsid w:val="00E8024E"/>
    <w:rsid w:val="00E81BD2"/>
    <w:rsid w:val="00E8382F"/>
    <w:rsid w:val="00E862A5"/>
    <w:rsid w:val="00E87250"/>
    <w:rsid w:val="00EA190F"/>
    <w:rsid w:val="00EA537C"/>
    <w:rsid w:val="00EB26CA"/>
    <w:rsid w:val="00ED2280"/>
    <w:rsid w:val="00ED34EE"/>
    <w:rsid w:val="00ED4EDE"/>
    <w:rsid w:val="00ED727A"/>
    <w:rsid w:val="00EE1572"/>
    <w:rsid w:val="00F05FC3"/>
    <w:rsid w:val="00F07984"/>
    <w:rsid w:val="00F13E33"/>
    <w:rsid w:val="00F15190"/>
    <w:rsid w:val="00F2116A"/>
    <w:rsid w:val="00F44098"/>
    <w:rsid w:val="00F47DE7"/>
    <w:rsid w:val="00F500EB"/>
    <w:rsid w:val="00F52009"/>
    <w:rsid w:val="00F81C02"/>
    <w:rsid w:val="00FA0C69"/>
    <w:rsid w:val="00FB53E3"/>
    <w:rsid w:val="00FC32E2"/>
    <w:rsid w:val="00FC396E"/>
    <w:rsid w:val="00FC545D"/>
    <w:rsid w:val="00FD074D"/>
    <w:rsid w:val="00FD7F46"/>
    <w:rsid w:val="00FE01AD"/>
    <w:rsid w:val="00FE2C85"/>
    <w:rsid w:val="00FF1E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9A5E"/>
  <w15:docId w15:val="{F6DE623F-AA74-46AD-B5D5-FD539740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82"/>
    <w:pPr>
      <w:spacing w:after="0" w:line="240" w:lineRule="auto"/>
    </w:pPr>
    <w:rPr>
      <w:rFonts w:ascii="Arial Narrow" w:eastAsia="Times New Roman" w:hAnsi="Arial Narrow" w:cs="Times New Roman"/>
      <w:sz w:val="20"/>
      <w:szCs w:val="20"/>
      <w:lang w:val="es-ES" w:eastAsia="es-ES"/>
    </w:rPr>
  </w:style>
  <w:style w:type="paragraph" w:styleId="Ttulo1">
    <w:name w:val="heading 1"/>
    <w:basedOn w:val="Normal"/>
    <w:next w:val="Normal"/>
    <w:link w:val="Ttulo1Car1"/>
    <w:qFormat/>
    <w:rsid w:val="00CB7B82"/>
    <w:pPr>
      <w:keepNext/>
      <w:jc w:val="center"/>
      <w:outlineLvl w:val="0"/>
    </w:pPr>
    <w:rPr>
      <w:b/>
      <w:smallCaps/>
      <w:sz w:val="28"/>
      <w:szCs w:val="22"/>
    </w:rPr>
  </w:style>
  <w:style w:type="paragraph" w:styleId="Ttulo3">
    <w:name w:val="heading 3"/>
    <w:basedOn w:val="Normal"/>
    <w:next w:val="Normal"/>
    <w:link w:val="Ttulo3Car"/>
    <w:qFormat/>
    <w:rsid w:val="00CB7B82"/>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ar"/>
    <w:qFormat/>
    <w:rsid w:val="00CB7B82"/>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B7B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7B82"/>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B7B82"/>
    <w:pPr>
      <w:numPr>
        <w:ilvl w:val="6"/>
        <w:numId w:val="1"/>
      </w:numPr>
      <w:spacing w:before="240" w:after="60"/>
      <w:outlineLvl w:val="6"/>
    </w:pPr>
    <w:rPr>
      <w:sz w:val="24"/>
      <w:szCs w:val="24"/>
    </w:rPr>
  </w:style>
  <w:style w:type="paragraph" w:styleId="Ttulo8">
    <w:name w:val="heading 8"/>
    <w:basedOn w:val="Normal"/>
    <w:next w:val="Normal"/>
    <w:link w:val="Ttulo8Car"/>
    <w:qFormat/>
    <w:rsid w:val="00CB7B82"/>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CB7B82"/>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7B82"/>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B7B8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B7B82"/>
    <w:rPr>
      <w:rFonts w:ascii="Arial Narrow" w:eastAsia="Times New Roman" w:hAnsi="Arial Narrow" w:cs="Times New Roman"/>
      <w:b/>
      <w:bCs/>
      <w:sz w:val="28"/>
      <w:szCs w:val="28"/>
      <w:lang w:val="es-ES" w:eastAsia="es-ES"/>
    </w:rPr>
  </w:style>
  <w:style w:type="character" w:customStyle="1" w:styleId="Ttulo5Car">
    <w:name w:val="Título 5 Car"/>
    <w:basedOn w:val="Fuentedeprrafopredeter"/>
    <w:link w:val="Ttulo5"/>
    <w:rsid w:val="00CB7B82"/>
    <w:rPr>
      <w:rFonts w:ascii="Arial Narrow" w:eastAsia="Times New Roman" w:hAnsi="Arial Narrow" w:cs="Times New Roman"/>
      <w:b/>
      <w:bCs/>
      <w:i/>
      <w:iCs/>
      <w:sz w:val="26"/>
      <w:szCs w:val="26"/>
      <w:lang w:val="es-ES" w:eastAsia="es-ES"/>
    </w:rPr>
  </w:style>
  <w:style w:type="character" w:customStyle="1" w:styleId="Ttulo6Car">
    <w:name w:val="Título 6 Car"/>
    <w:basedOn w:val="Fuentedeprrafopredeter"/>
    <w:link w:val="Ttulo6"/>
    <w:rsid w:val="00CB7B82"/>
    <w:rPr>
      <w:rFonts w:ascii="Arial Narrow" w:eastAsia="Times New Roman" w:hAnsi="Arial Narrow" w:cs="Times New Roman"/>
      <w:b/>
      <w:bCs/>
      <w:lang w:val="es-ES" w:eastAsia="es-ES"/>
    </w:rPr>
  </w:style>
  <w:style w:type="character" w:customStyle="1" w:styleId="Ttulo7Car">
    <w:name w:val="Título 7 Car"/>
    <w:basedOn w:val="Fuentedeprrafopredeter"/>
    <w:link w:val="Ttulo7"/>
    <w:rsid w:val="00CB7B82"/>
    <w:rPr>
      <w:rFonts w:ascii="Arial Narrow" w:eastAsia="Times New Roman" w:hAnsi="Arial Narrow" w:cs="Times New Roman"/>
      <w:sz w:val="24"/>
      <w:szCs w:val="24"/>
      <w:lang w:val="es-ES" w:eastAsia="es-ES"/>
    </w:rPr>
  </w:style>
  <w:style w:type="character" w:customStyle="1" w:styleId="Ttulo8Car">
    <w:name w:val="Título 8 Car"/>
    <w:basedOn w:val="Fuentedeprrafopredeter"/>
    <w:link w:val="Ttulo8"/>
    <w:rsid w:val="00CB7B8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CB7B82"/>
    <w:rPr>
      <w:rFonts w:ascii="Arial" w:eastAsia="Times New Roman" w:hAnsi="Arial" w:cs="Times New Roman"/>
      <w:lang w:val="es-ES" w:eastAsia="es-ES"/>
    </w:rPr>
  </w:style>
  <w:style w:type="character" w:customStyle="1" w:styleId="Ttulo1Car1">
    <w:name w:val="Título 1 Car1"/>
    <w:link w:val="Ttulo1"/>
    <w:locked/>
    <w:rsid w:val="00CB7B82"/>
    <w:rPr>
      <w:rFonts w:ascii="Arial Narrow" w:eastAsia="Times New Roman" w:hAnsi="Arial Narrow" w:cs="Times New Roman"/>
      <w:b/>
      <w:smallCaps/>
      <w:sz w:val="28"/>
      <w:lang w:val="es-ES" w:eastAsia="es-ES"/>
    </w:rPr>
  </w:style>
  <w:style w:type="paragraph" w:styleId="Prrafodelista">
    <w:name w:val="List Paragraph"/>
    <w:basedOn w:val="Normal"/>
    <w:uiPriority w:val="34"/>
    <w:qFormat/>
    <w:rsid w:val="00CB7B82"/>
    <w:pPr>
      <w:ind w:left="720"/>
      <w:contextualSpacing/>
    </w:pPr>
  </w:style>
  <w:style w:type="character" w:styleId="Hipervnculo">
    <w:name w:val="Hyperlink"/>
    <w:uiPriority w:val="99"/>
    <w:rsid w:val="00CB7B82"/>
    <w:rPr>
      <w:rFonts w:cs="Times New Roman"/>
      <w:color w:val="0000FF"/>
      <w:u w:val="single"/>
    </w:rPr>
  </w:style>
  <w:style w:type="paragraph" w:customStyle="1" w:styleId="Default">
    <w:name w:val="Default"/>
    <w:rsid w:val="00927EC6"/>
    <w:pPr>
      <w:autoSpaceDE w:val="0"/>
      <w:autoSpaceDN w:val="0"/>
      <w:adjustRightInd w:val="0"/>
      <w:spacing w:after="0" w:line="240" w:lineRule="auto"/>
    </w:pPr>
    <w:rPr>
      <w:rFonts w:ascii="Calibri" w:eastAsiaTheme="minorEastAsia" w:hAnsi="Calibri" w:cs="Calibri"/>
      <w:color w:val="000000"/>
      <w:sz w:val="24"/>
      <w:szCs w:val="24"/>
      <w:lang w:eastAsia="es-CL"/>
    </w:rPr>
  </w:style>
  <w:style w:type="paragraph" w:styleId="Textonotapie">
    <w:name w:val="footnote text"/>
    <w:basedOn w:val="Normal"/>
    <w:link w:val="TextonotapieCar"/>
    <w:rsid w:val="00B36C93"/>
    <w:rPr>
      <w:rFonts w:ascii="Times New Roman" w:hAnsi="Times New Roman"/>
    </w:rPr>
  </w:style>
  <w:style w:type="character" w:customStyle="1" w:styleId="TextonotapieCar">
    <w:name w:val="Texto nota pie Car"/>
    <w:basedOn w:val="Fuentedeprrafopredeter"/>
    <w:link w:val="Textonotapie"/>
    <w:rsid w:val="00B36C93"/>
    <w:rPr>
      <w:rFonts w:ascii="Times New Roman" w:eastAsia="Times New Roman" w:hAnsi="Times New Roman" w:cs="Times New Roman"/>
      <w:sz w:val="20"/>
      <w:szCs w:val="20"/>
      <w:lang w:val="es-ES" w:eastAsia="es-ES"/>
    </w:rPr>
  </w:style>
  <w:style w:type="character" w:styleId="Refdenotaalpie">
    <w:name w:val="footnote reference"/>
    <w:semiHidden/>
    <w:rsid w:val="00B36C93"/>
    <w:rPr>
      <w:rFonts w:cs="Times New Roman"/>
      <w:vertAlign w:val="superscript"/>
    </w:rPr>
  </w:style>
  <w:style w:type="paragraph" w:styleId="Sinespaciado">
    <w:name w:val="No Spacing"/>
    <w:uiPriority w:val="1"/>
    <w:qFormat/>
    <w:rsid w:val="00B64DE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53289"/>
    <w:pPr>
      <w:tabs>
        <w:tab w:val="center" w:pos="4419"/>
        <w:tab w:val="right" w:pos="8838"/>
      </w:tabs>
    </w:pPr>
  </w:style>
  <w:style w:type="character" w:customStyle="1" w:styleId="EncabezadoCar">
    <w:name w:val="Encabezado Car"/>
    <w:basedOn w:val="Fuentedeprrafopredeter"/>
    <w:link w:val="Encabezado"/>
    <w:uiPriority w:val="99"/>
    <w:rsid w:val="00D53289"/>
    <w:rPr>
      <w:rFonts w:ascii="Arial Narrow" w:eastAsia="Times New Roman" w:hAnsi="Arial Narrow" w:cs="Times New Roman"/>
      <w:sz w:val="20"/>
      <w:szCs w:val="20"/>
      <w:lang w:val="es-ES" w:eastAsia="es-ES"/>
    </w:rPr>
  </w:style>
  <w:style w:type="paragraph" w:styleId="Piedepgina">
    <w:name w:val="footer"/>
    <w:basedOn w:val="Normal"/>
    <w:link w:val="PiedepginaCar"/>
    <w:uiPriority w:val="99"/>
    <w:unhideWhenUsed/>
    <w:rsid w:val="00D53289"/>
    <w:pPr>
      <w:tabs>
        <w:tab w:val="center" w:pos="4419"/>
        <w:tab w:val="right" w:pos="8838"/>
      </w:tabs>
    </w:pPr>
  </w:style>
  <w:style w:type="character" w:customStyle="1" w:styleId="PiedepginaCar">
    <w:name w:val="Pie de página Car"/>
    <w:basedOn w:val="Fuentedeprrafopredeter"/>
    <w:link w:val="Piedepgina"/>
    <w:uiPriority w:val="99"/>
    <w:rsid w:val="00D53289"/>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uiPriority w:val="99"/>
    <w:unhideWhenUsed/>
    <w:rsid w:val="0062065F"/>
    <w:pPr>
      <w:spacing w:after="200"/>
    </w:pPr>
    <w:rPr>
      <w:rFonts w:asciiTheme="minorHAnsi" w:eastAsiaTheme="minorEastAsia" w:hAnsiTheme="minorHAnsi" w:cstheme="minorBidi"/>
      <w:lang w:val="es-CL" w:eastAsia="es-CL"/>
    </w:rPr>
  </w:style>
  <w:style w:type="character" w:customStyle="1" w:styleId="TextocomentarioCar">
    <w:name w:val="Texto comentario Car"/>
    <w:basedOn w:val="Fuentedeprrafopredeter"/>
    <w:link w:val="Textocomentario"/>
    <w:uiPriority w:val="99"/>
    <w:rsid w:val="0062065F"/>
    <w:rPr>
      <w:rFonts w:eastAsiaTheme="minorEastAsia"/>
      <w:sz w:val="20"/>
      <w:szCs w:val="20"/>
      <w:lang w:eastAsia="es-CL"/>
    </w:rPr>
  </w:style>
  <w:style w:type="character" w:styleId="Refdecomentario">
    <w:name w:val="annotation reference"/>
    <w:basedOn w:val="Fuentedeprrafopredeter"/>
    <w:uiPriority w:val="99"/>
    <w:semiHidden/>
    <w:unhideWhenUsed/>
    <w:rsid w:val="003016C0"/>
    <w:rPr>
      <w:sz w:val="16"/>
      <w:szCs w:val="16"/>
    </w:rPr>
  </w:style>
  <w:style w:type="paragraph" w:styleId="Asuntodelcomentario">
    <w:name w:val="annotation subject"/>
    <w:basedOn w:val="Textocomentario"/>
    <w:next w:val="Textocomentario"/>
    <w:link w:val="AsuntodelcomentarioCar"/>
    <w:uiPriority w:val="99"/>
    <w:semiHidden/>
    <w:unhideWhenUsed/>
    <w:rsid w:val="003016C0"/>
    <w:pPr>
      <w:spacing w:after="0"/>
    </w:pPr>
    <w:rPr>
      <w:rFonts w:ascii="Arial Narrow" w:eastAsia="Times New Roman" w:hAnsi="Arial Narrow" w:cs="Times New Roman"/>
      <w:b/>
      <w:bCs/>
      <w:lang w:val="es-ES" w:eastAsia="es-ES"/>
    </w:rPr>
  </w:style>
  <w:style w:type="character" w:customStyle="1" w:styleId="AsuntodelcomentarioCar">
    <w:name w:val="Asunto del comentario Car"/>
    <w:basedOn w:val="TextocomentarioCar"/>
    <w:link w:val="Asuntodelcomentario"/>
    <w:uiPriority w:val="99"/>
    <w:semiHidden/>
    <w:rsid w:val="003016C0"/>
    <w:rPr>
      <w:rFonts w:ascii="Arial Narrow" w:eastAsia="Times New Roman"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301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C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adopublic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3C344-5891-43B8-8E11-5966DC7D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5774</Words>
  <Characters>31761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respinoza</dc:creator>
  <cp:lastModifiedBy>Cinthia Noemi Avellaneda Vera</cp:lastModifiedBy>
  <cp:revision>6</cp:revision>
  <dcterms:created xsi:type="dcterms:W3CDTF">2022-01-24T13:05:00Z</dcterms:created>
  <dcterms:modified xsi:type="dcterms:W3CDTF">2022-01-24T13:49:00Z</dcterms:modified>
</cp:coreProperties>
</file>