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88E3" w14:textId="77777777" w:rsidR="00FB40A4" w:rsidRDefault="00FB40A4" w:rsidP="00C01BE8">
      <w:pPr>
        <w:rPr>
          <w:lang w:eastAsia="es-CL"/>
        </w:rPr>
      </w:pPr>
    </w:p>
    <w:p w14:paraId="6E036D89" w14:textId="148E130A" w:rsidR="00F71446" w:rsidRDefault="00F71446" w:rsidP="00F71446"/>
    <w:p w14:paraId="297D1A43" w14:textId="3F653596" w:rsidR="00F71446" w:rsidRDefault="00F71446" w:rsidP="00F71446"/>
    <w:p w14:paraId="28C58CA4" w14:textId="3DB13E8E" w:rsidR="00F71446" w:rsidRDefault="00F71446" w:rsidP="00F71446"/>
    <w:p w14:paraId="53B9924B" w14:textId="77777777" w:rsidR="00F71446" w:rsidRPr="00C01BE8" w:rsidRDefault="00F71446" w:rsidP="00C01BE8"/>
    <w:p w14:paraId="54E081DE" w14:textId="0E4B6C7F" w:rsidR="00B858A3" w:rsidRPr="00C01BE8" w:rsidRDefault="00FB40A4">
      <w:pPr>
        <w:pStyle w:val="Ttulo1"/>
        <w:jc w:val="center"/>
      </w:pPr>
      <w:r w:rsidRPr="00C01BE8">
        <w:t>INFORME INGRESO FAMILIAR DE EMERGENCIA</w:t>
      </w:r>
    </w:p>
    <w:p w14:paraId="1B50B98C" w14:textId="383142E8" w:rsidR="00FB40A4" w:rsidRPr="00C01BE8" w:rsidRDefault="00FB40A4">
      <w:pPr>
        <w:pStyle w:val="Ttulo1"/>
        <w:jc w:val="center"/>
      </w:pPr>
      <w:r w:rsidRPr="00C01BE8">
        <w:t>MINISTERIO DE DESARROLLO SOCIAL Y FAMILIA</w:t>
      </w:r>
    </w:p>
    <w:p w14:paraId="19F65EAA" w14:textId="36DF9CC3" w:rsidR="00BE4FCD" w:rsidRPr="00C01BE8" w:rsidRDefault="00D3334C">
      <w:pPr>
        <w:pStyle w:val="Ttulo1"/>
        <w:jc w:val="center"/>
      </w:pPr>
      <w:r>
        <w:t xml:space="preserve">NOVIEMBRE </w:t>
      </w:r>
      <w:r w:rsidR="00FB40A4" w:rsidRPr="00C01BE8">
        <w:t>2021</w:t>
      </w:r>
      <w:r w:rsidR="00EF4716" w:rsidRPr="00C01BE8">
        <w:t xml:space="preserve"> (actualización al </w:t>
      </w:r>
      <w:r w:rsidR="005372EA">
        <w:t>31</w:t>
      </w:r>
      <w:r w:rsidR="00EF4716" w:rsidRPr="00C01BE8">
        <w:t>.</w:t>
      </w:r>
      <w:r w:rsidR="00F638AD">
        <w:t>1</w:t>
      </w:r>
      <w:r w:rsidR="00355612">
        <w:t>1</w:t>
      </w:r>
      <w:r w:rsidR="00EF4716" w:rsidRPr="00C01BE8">
        <w:t>.2021)</w:t>
      </w:r>
    </w:p>
    <w:p w14:paraId="745E8293" w14:textId="77777777" w:rsidR="00F71446" w:rsidRDefault="00F71446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es-CL"/>
        </w:rPr>
      </w:pPr>
      <w:r>
        <w:rPr>
          <w:rFonts w:eastAsia="Times New Roman"/>
          <w:lang w:eastAsia="es-CL"/>
        </w:rPr>
        <w:br w:type="page"/>
      </w:r>
    </w:p>
    <w:p w14:paraId="670B5182" w14:textId="0903EF24" w:rsidR="006F677E" w:rsidRDefault="006F677E" w:rsidP="00FB40A4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lastRenderedPageBreak/>
        <w:t>Informe Ingreso Familiar de Emergencia</w:t>
      </w:r>
      <w:r w:rsidR="005F1427">
        <w:rPr>
          <w:rFonts w:eastAsia="Times New Roman"/>
          <w:lang w:eastAsia="es-CL"/>
        </w:rPr>
        <w:t xml:space="preserve"> – </w:t>
      </w:r>
      <w:r w:rsidR="00E71C64">
        <w:rPr>
          <w:rFonts w:eastAsia="Times New Roman"/>
          <w:lang w:eastAsia="es-CL"/>
        </w:rPr>
        <w:t>actualización a</w:t>
      </w:r>
      <w:r w:rsidR="002B4D38">
        <w:rPr>
          <w:rFonts w:eastAsia="Times New Roman"/>
          <w:lang w:eastAsia="es-CL"/>
        </w:rPr>
        <w:t>l</w:t>
      </w:r>
      <w:r w:rsidR="005F1427">
        <w:rPr>
          <w:rFonts w:eastAsia="Times New Roman"/>
          <w:lang w:eastAsia="es-CL"/>
        </w:rPr>
        <w:t xml:space="preserve"> </w:t>
      </w:r>
      <w:r w:rsidR="005372EA">
        <w:rPr>
          <w:rFonts w:eastAsia="Times New Roman"/>
          <w:lang w:eastAsia="es-CL"/>
        </w:rPr>
        <w:t>31</w:t>
      </w:r>
      <w:r w:rsidR="000920C4">
        <w:rPr>
          <w:rFonts w:eastAsia="Times New Roman"/>
          <w:lang w:eastAsia="es-CL"/>
        </w:rPr>
        <w:t xml:space="preserve"> </w:t>
      </w:r>
      <w:r w:rsidR="007974D1">
        <w:rPr>
          <w:rFonts w:eastAsia="Times New Roman"/>
          <w:lang w:eastAsia="es-CL"/>
        </w:rPr>
        <w:t xml:space="preserve">de </w:t>
      </w:r>
      <w:r w:rsidR="00355612">
        <w:rPr>
          <w:rFonts w:eastAsia="Times New Roman"/>
          <w:lang w:eastAsia="es-CL"/>
        </w:rPr>
        <w:t xml:space="preserve">noviembre </w:t>
      </w:r>
      <w:r w:rsidR="00517249">
        <w:rPr>
          <w:rFonts w:eastAsia="Times New Roman"/>
          <w:lang w:eastAsia="es-CL"/>
        </w:rPr>
        <w:t xml:space="preserve">de </w:t>
      </w:r>
      <w:r w:rsidR="005F1427">
        <w:rPr>
          <w:rFonts w:eastAsia="Times New Roman"/>
          <w:lang w:eastAsia="es-CL"/>
        </w:rPr>
        <w:t>2021</w:t>
      </w:r>
    </w:p>
    <w:p w14:paraId="21D5CF8A" w14:textId="188EB01F" w:rsidR="00B315F4" w:rsidRDefault="008D35B1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 w:rsidRPr="008D35B1">
        <w:rPr>
          <w:rFonts w:eastAsia="Times New Roman" w:cstheme="minorHAnsi"/>
          <w:color w:val="000000"/>
          <w:lang w:eastAsia="es-CL"/>
        </w:rPr>
        <w:t xml:space="preserve">Como parte de la Ley que estableció un </w:t>
      </w:r>
      <w:r w:rsidR="005F1427">
        <w:rPr>
          <w:rFonts w:eastAsia="Times New Roman" w:cstheme="minorHAnsi"/>
          <w:color w:val="000000"/>
          <w:lang w:eastAsia="es-CL"/>
        </w:rPr>
        <w:t>I</w:t>
      </w:r>
      <w:r w:rsidR="005F1427" w:rsidRPr="008D35B1">
        <w:rPr>
          <w:rFonts w:eastAsia="Times New Roman" w:cstheme="minorHAnsi"/>
          <w:color w:val="000000"/>
          <w:lang w:eastAsia="es-CL"/>
        </w:rPr>
        <w:t xml:space="preserve">ngreso </w:t>
      </w:r>
      <w:r w:rsidRPr="008D35B1">
        <w:rPr>
          <w:rFonts w:eastAsia="Times New Roman" w:cstheme="minorHAnsi"/>
          <w:color w:val="000000"/>
          <w:lang w:eastAsia="es-CL"/>
        </w:rPr>
        <w:t xml:space="preserve">Familiar de Emergencia se determinó que el Ministerio de Desarrollo Social y Familia </w:t>
      </w:r>
      <w:r w:rsidR="001579D4" w:rsidRPr="008D35B1">
        <w:rPr>
          <w:rFonts w:eastAsia="Times New Roman" w:cstheme="minorHAnsi"/>
          <w:color w:val="000000"/>
          <w:lang w:eastAsia="es-CL"/>
        </w:rPr>
        <w:t>enviar</w:t>
      </w:r>
      <w:r w:rsidR="001579D4">
        <w:rPr>
          <w:rFonts w:eastAsia="Times New Roman" w:cstheme="minorHAnsi"/>
          <w:color w:val="000000"/>
          <w:lang w:eastAsia="es-CL"/>
        </w:rPr>
        <w:t>a</w:t>
      </w:r>
      <w:r w:rsidR="001579D4" w:rsidRPr="008D35B1">
        <w:rPr>
          <w:rFonts w:eastAsia="Times New Roman" w:cstheme="minorHAnsi"/>
          <w:color w:val="000000"/>
          <w:lang w:eastAsia="es-CL"/>
        </w:rPr>
        <w:t xml:space="preserve"> </w:t>
      </w:r>
      <w:r w:rsidRPr="008D35B1">
        <w:rPr>
          <w:rFonts w:eastAsia="Times New Roman" w:cstheme="minorHAnsi"/>
          <w:color w:val="000000"/>
          <w:lang w:eastAsia="es-CL"/>
        </w:rPr>
        <w:t xml:space="preserve">un informe al Congreso respecto a la implementación de este apoyo, incluyendo datos respecto a su cobertura y alcance. De esta manera, como </w:t>
      </w:r>
      <w:r w:rsidR="00B33ABC">
        <w:rPr>
          <w:rFonts w:eastAsia="Times New Roman" w:cstheme="minorHAnsi"/>
          <w:color w:val="000000"/>
          <w:lang w:eastAsia="es-CL"/>
        </w:rPr>
        <w:t>M</w:t>
      </w:r>
      <w:r w:rsidR="00B33ABC" w:rsidRPr="008D35B1">
        <w:rPr>
          <w:rFonts w:eastAsia="Times New Roman" w:cstheme="minorHAnsi"/>
          <w:color w:val="000000"/>
          <w:lang w:eastAsia="es-CL"/>
        </w:rPr>
        <w:t>inisterio</w:t>
      </w:r>
      <w:r w:rsidR="00B33ABC">
        <w:rPr>
          <w:rFonts w:eastAsia="Times New Roman" w:cstheme="minorHAnsi"/>
          <w:color w:val="000000"/>
          <w:lang w:eastAsia="es-CL"/>
        </w:rPr>
        <w:t>,</w:t>
      </w:r>
      <w:r w:rsidR="00B33ABC" w:rsidRPr="008D35B1">
        <w:rPr>
          <w:rFonts w:eastAsia="Times New Roman" w:cstheme="minorHAnsi"/>
          <w:color w:val="000000"/>
          <w:lang w:eastAsia="es-CL"/>
        </w:rPr>
        <w:t xml:space="preserve"> </w:t>
      </w:r>
      <w:r w:rsidRPr="008D35B1">
        <w:rPr>
          <w:rFonts w:eastAsia="Times New Roman" w:cstheme="minorHAnsi"/>
          <w:color w:val="000000"/>
          <w:lang w:eastAsia="es-CL"/>
        </w:rPr>
        <w:t xml:space="preserve">se envió </w:t>
      </w:r>
      <w:r w:rsidR="00702ED2">
        <w:rPr>
          <w:rFonts w:eastAsia="Times New Roman" w:cstheme="minorHAnsi"/>
          <w:color w:val="000000"/>
          <w:lang w:eastAsia="es-CL"/>
        </w:rPr>
        <w:t xml:space="preserve">el </w:t>
      </w:r>
      <w:r w:rsidRPr="00D103A9">
        <w:rPr>
          <w:rFonts w:eastAsia="Times New Roman" w:cstheme="minorHAnsi"/>
          <w:bCs/>
          <w:color w:val="000000"/>
          <w:lang w:eastAsia="es-CL"/>
        </w:rPr>
        <w:t>informe</w:t>
      </w:r>
      <w:r w:rsidRPr="008D35B1">
        <w:rPr>
          <w:rFonts w:eastAsia="Times New Roman" w:cstheme="minorHAnsi"/>
          <w:color w:val="000000"/>
          <w:lang w:eastAsia="es-CL"/>
        </w:rPr>
        <w:t xml:space="preserve"> a la Comisión Especial Mixta de Presupuestos y a la Comisión de Desarrollo Social, Superación de la Pobreza y Planificación el </w:t>
      </w:r>
      <w:r w:rsidR="00702ED2">
        <w:rPr>
          <w:rFonts w:eastAsia="Times New Roman" w:cstheme="minorHAnsi"/>
          <w:color w:val="000000"/>
          <w:lang w:eastAsia="es-CL"/>
        </w:rPr>
        <w:t xml:space="preserve">día </w:t>
      </w:r>
      <w:r w:rsidR="00B315F4">
        <w:rPr>
          <w:rFonts w:eastAsia="Times New Roman" w:cstheme="minorHAnsi"/>
          <w:color w:val="000000"/>
          <w:lang w:eastAsia="es-CL"/>
        </w:rPr>
        <w:t>30 de junio</w:t>
      </w:r>
      <w:r w:rsidRPr="008D35B1">
        <w:rPr>
          <w:rFonts w:eastAsia="Times New Roman" w:cstheme="minorHAnsi"/>
          <w:color w:val="000000"/>
          <w:lang w:eastAsia="es-CL"/>
        </w:rPr>
        <w:t xml:space="preserve"> de 202</w:t>
      </w:r>
      <w:r w:rsidR="00C53827">
        <w:rPr>
          <w:rFonts w:eastAsia="Times New Roman" w:cstheme="minorHAnsi"/>
          <w:color w:val="000000"/>
          <w:lang w:eastAsia="es-CL"/>
        </w:rPr>
        <w:t>1</w:t>
      </w:r>
      <w:r w:rsidR="009E6A45">
        <w:rPr>
          <w:rFonts w:eastAsia="Times New Roman" w:cstheme="minorHAnsi"/>
          <w:color w:val="000000"/>
          <w:lang w:eastAsia="es-CL"/>
        </w:rPr>
        <w:t xml:space="preserve">, </w:t>
      </w:r>
      <w:r w:rsidR="009E6A45" w:rsidRPr="008D35B1">
        <w:rPr>
          <w:rFonts w:eastAsia="Times New Roman" w:cstheme="minorHAnsi"/>
          <w:color w:val="000000"/>
          <w:lang w:eastAsia="es-CL"/>
        </w:rPr>
        <w:t xml:space="preserve">dando cuenta de los datos disponibles hasta </w:t>
      </w:r>
      <w:r w:rsidR="007D683C">
        <w:rPr>
          <w:rFonts w:eastAsia="Times New Roman" w:cstheme="minorHAnsi"/>
          <w:color w:val="000000"/>
          <w:lang w:eastAsia="es-CL"/>
        </w:rPr>
        <w:t>junio</w:t>
      </w:r>
      <w:r w:rsidR="00F76147">
        <w:rPr>
          <w:rFonts w:eastAsia="Times New Roman" w:cstheme="minorHAnsi"/>
          <w:color w:val="000000"/>
          <w:lang w:eastAsia="es-CL"/>
        </w:rPr>
        <w:t xml:space="preserve"> de</w:t>
      </w:r>
      <w:r w:rsidR="007D683C">
        <w:rPr>
          <w:rFonts w:eastAsia="Times New Roman" w:cstheme="minorHAnsi"/>
          <w:color w:val="000000"/>
          <w:lang w:eastAsia="es-CL"/>
        </w:rPr>
        <w:t xml:space="preserve"> 2021, pero enfocado principalmente en el IFE 2020</w:t>
      </w:r>
      <w:r w:rsidR="009E6A45">
        <w:rPr>
          <w:rFonts w:eastAsia="Times New Roman" w:cstheme="minorHAnsi"/>
          <w:color w:val="000000"/>
          <w:lang w:eastAsia="es-CL"/>
        </w:rPr>
        <w:t>. Los datos que son presentados</w:t>
      </w:r>
      <w:r w:rsidR="007D683C">
        <w:rPr>
          <w:rFonts w:eastAsia="Times New Roman" w:cstheme="minorHAnsi"/>
          <w:color w:val="000000"/>
          <w:lang w:eastAsia="es-CL"/>
        </w:rPr>
        <w:t xml:space="preserve"> en este informe</w:t>
      </w:r>
      <w:r w:rsidR="009E6A45">
        <w:rPr>
          <w:rFonts w:eastAsia="Times New Roman" w:cstheme="minorHAnsi"/>
          <w:color w:val="000000"/>
          <w:lang w:eastAsia="es-CL"/>
        </w:rPr>
        <w:t xml:space="preserve"> dan cuenta de la evolución del Ingreso Familiar de Emergencia</w:t>
      </w:r>
      <w:r w:rsidR="00C938AA">
        <w:rPr>
          <w:rFonts w:eastAsia="Times New Roman" w:cstheme="minorHAnsi"/>
          <w:color w:val="000000"/>
          <w:lang w:eastAsia="es-CL"/>
        </w:rPr>
        <w:t xml:space="preserve"> hasta </w:t>
      </w:r>
      <w:r w:rsidR="005D583D">
        <w:rPr>
          <w:rFonts w:eastAsia="Times New Roman" w:cstheme="minorHAnsi"/>
          <w:color w:val="000000"/>
          <w:lang w:eastAsia="es-CL"/>
        </w:rPr>
        <w:t>el reciente pago de</w:t>
      </w:r>
      <w:r w:rsidR="002E04F9">
        <w:rPr>
          <w:rFonts w:eastAsia="Times New Roman" w:cstheme="minorHAnsi"/>
          <w:color w:val="000000"/>
          <w:lang w:eastAsia="es-CL"/>
        </w:rPr>
        <w:t xml:space="preserve"> </w:t>
      </w:r>
      <w:r w:rsidR="00355612">
        <w:rPr>
          <w:rFonts w:eastAsia="Times New Roman" w:cstheme="minorHAnsi"/>
          <w:color w:val="000000"/>
          <w:lang w:eastAsia="es-CL"/>
        </w:rPr>
        <w:t>noviembre</w:t>
      </w:r>
      <w:r w:rsidR="00C87BF8">
        <w:rPr>
          <w:rFonts w:eastAsia="Times New Roman" w:cstheme="minorHAnsi"/>
          <w:color w:val="000000"/>
          <w:lang w:eastAsia="es-CL"/>
        </w:rPr>
        <w:t xml:space="preserve"> </w:t>
      </w:r>
      <w:r w:rsidR="005D583D">
        <w:rPr>
          <w:rFonts w:eastAsia="Times New Roman" w:cstheme="minorHAnsi"/>
          <w:color w:val="000000"/>
          <w:lang w:eastAsia="es-CL"/>
        </w:rPr>
        <w:t>de 2021</w:t>
      </w:r>
      <w:r w:rsidR="00884FDF">
        <w:rPr>
          <w:rFonts w:eastAsia="Times New Roman" w:cstheme="minorHAnsi"/>
          <w:color w:val="000000"/>
          <w:lang w:eastAsia="es-CL"/>
        </w:rPr>
        <w:t>.</w:t>
      </w:r>
      <w:r w:rsidR="009E6A45">
        <w:rPr>
          <w:rFonts w:eastAsia="Times New Roman" w:cstheme="minorHAnsi"/>
          <w:color w:val="000000"/>
          <w:lang w:eastAsia="es-CL"/>
        </w:rPr>
        <w:t xml:space="preserve"> </w:t>
      </w:r>
    </w:p>
    <w:p w14:paraId="74DAFF35" w14:textId="1E1BA45B" w:rsidR="008D35B1" w:rsidRPr="008D35B1" w:rsidRDefault="00EF50B5" w:rsidP="00D473BE">
      <w:pPr>
        <w:spacing w:before="240" w:after="240" w:line="240" w:lineRule="auto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A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 la fecha </w:t>
      </w:r>
      <w:r w:rsidR="00D564BE">
        <w:rPr>
          <w:rFonts w:eastAsia="Times New Roman" w:cstheme="minorHAnsi"/>
          <w:color w:val="000000"/>
          <w:lang w:eastAsia="es-CL"/>
        </w:rPr>
        <w:t xml:space="preserve">se puede apreciar 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la importante cobertura que ha tenido este beneficio en cada uno de sus </w:t>
      </w:r>
      <w:r w:rsidR="00050A56">
        <w:rPr>
          <w:rFonts w:eastAsia="Times New Roman" w:cstheme="minorHAnsi"/>
          <w:color w:val="000000"/>
          <w:lang w:eastAsia="es-CL"/>
        </w:rPr>
        <w:t>18</w:t>
      </w:r>
      <w:r w:rsidR="00B320FA">
        <w:rPr>
          <w:rFonts w:eastAsia="Times New Roman" w:cstheme="minorHAnsi"/>
          <w:color w:val="000000"/>
          <w:lang w:eastAsia="es-CL"/>
        </w:rPr>
        <w:t xml:space="preserve"> </w:t>
      </w:r>
      <w:r w:rsidR="00C53847">
        <w:rPr>
          <w:rFonts w:eastAsia="Times New Roman" w:cstheme="minorHAnsi"/>
          <w:color w:val="000000"/>
          <w:lang w:eastAsia="es-CL"/>
        </w:rPr>
        <w:t>aportes</w:t>
      </w:r>
      <w:r w:rsidR="005E2AF9">
        <w:rPr>
          <w:rFonts w:eastAsia="Times New Roman" w:cstheme="minorHAnsi"/>
          <w:color w:val="000000"/>
          <w:lang w:eastAsia="es-CL"/>
        </w:rPr>
        <w:t>,</w:t>
      </w:r>
      <w:r w:rsidR="00C53847">
        <w:rPr>
          <w:rFonts w:eastAsia="Times New Roman" w:cstheme="minorHAnsi"/>
          <w:color w:val="000000"/>
          <w:lang w:eastAsia="es-CL"/>
        </w:rPr>
        <w:t xml:space="preserve"> </w:t>
      </w:r>
      <w:r w:rsidR="008D35B1" w:rsidRPr="008D35B1">
        <w:rPr>
          <w:rFonts w:eastAsia="Times New Roman" w:cstheme="minorHAnsi"/>
          <w:color w:val="000000"/>
          <w:lang w:eastAsia="es-CL"/>
        </w:rPr>
        <w:t>así como las mejoras que se han implementado y los efectos que ha tenido en los más vulnerables. </w:t>
      </w:r>
      <w:r w:rsidR="00D564BE">
        <w:rPr>
          <w:rFonts w:eastAsia="Times New Roman" w:cstheme="minorHAnsi"/>
          <w:color w:val="000000"/>
          <w:lang w:eastAsia="es-CL"/>
        </w:rPr>
        <w:t xml:space="preserve">El objetivo de este documento es dar cuenta de dichos avances, considerando que es un beneficio que aún se encuentra en curso. </w:t>
      </w:r>
    </w:p>
    <w:p w14:paraId="3B79EA77" w14:textId="07DB1953" w:rsidR="00E71C64" w:rsidRDefault="008D35B1" w:rsidP="008D35B1">
      <w:pPr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8D35B1">
        <w:rPr>
          <w:rFonts w:eastAsia="Times New Roman" w:cstheme="minorHAnsi"/>
          <w:b/>
          <w:bCs/>
          <w:color w:val="000000"/>
          <w:lang w:eastAsia="es-CL"/>
        </w:rPr>
        <w:t xml:space="preserve">1.- </w:t>
      </w:r>
      <w:r w:rsidR="00E71C64" w:rsidRPr="008D35B1">
        <w:rPr>
          <w:rFonts w:eastAsia="Times New Roman" w:cstheme="minorHAnsi"/>
          <w:b/>
          <w:bCs/>
          <w:color w:val="000000"/>
          <w:lang w:eastAsia="es-CL"/>
        </w:rPr>
        <w:t>El IFE ha sido una medida que se ha pagado mensualmente desde mayo de 2020</w:t>
      </w:r>
      <w:r w:rsidR="00E71C64" w:rsidRPr="008D35B1">
        <w:rPr>
          <w:rFonts w:eastAsia="Times New Roman" w:cstheme="minorHAnsi"/>
          <w:color w:val="000000"/>
          <w:lang w:eastAsia="es-CL"/>
        </w:rPr>
        <w:t xml:space="preserve">: a la fecha, el IFE se ha pagado desde mayo 2020 totalizando </w:t>
      </w:r>
      <w:r w:rsidR="00355612" w:rsidRPr="008D35B1">
        <w:rPr>
          <w:rFonts w:eastAsia="Times New Roman" w:cstheme="minorHAnsi"/>
          <w:color w:val="000000"/>
          <w:lang w:eastAsia="es-CL"/>
        </w:rPr>
        <w:t>1</w:t>
      </w:r>
      <w:r w:rsidR="00355612">
        <w:rPr>
          <w:rFonts w:eastAsia="Times New Roman" w:cstheme="minorHAnsi"/>
          <w:color w:val="000000"/>
          <w:lang w:eastAsia="es-CL"/>
        </w:rPr>
        <w:t>8</w:t>
      </w:r>
      <w:r w:rsidR="00355612" w:rsidRPr="008D35B1">
        <w:rPr>
          <w:rFonts w:eastAsia="Times New Roman" w:cstheme="minorHAnsi"/>
          <w:color w:val="000000"/>
          <w:lang w:eastAsia="es-CL"/>
        </w:rPr>
        <w:t xml:space="preserve"> </w:t>
      </w:r>
      <w:r w:rsidR="00E71C64" w:rsidRPr="008D35B1">
        <w:rPr>
          <w:rFonts w:eastAsia="Times New Roman" w:cstheme="minorHAnsi"/>
          <w:color w:val="000000"/>
          <w:lang w:eastAsia="es-CL"/>
        </w:rPr>
        <w:t>pagos (6 aportes IFE 2020</w:t>
      </w:r>
      <w:r w:rsidR="00D22E26">
        <w:rPr>
          <w:rFonts w:eastAsia="Times New Roman" w:cstheme="minorHAnsi"/>
          <w:color w:val="000000"/>
          <w:lang w:eastAsia="es-CL"/>
        </w:rPr>
        <w:t xml:space="preserve"> entre mayo y octubre</w:t>
      </w:r>
      <w:r w:rsidR="00E71C64" w:rsidRPr="008D35B1">
        <w:rPr>
          <w:rFonts w:eastAsia="Times New Roman" w:cstheme="minorHAnsi"/>
          <w:color w:val="000000"/>
          <w:lang w:eastAsia="es-CL"/>
        </w:rPr>
        <w:t>, Bono Covid Navidad</w:t>
      </w:r>
      <w:r w:rsidR="00D22E26">
        <w:rPr>
          <w:rFonts w:eastAsia="Times New Roman" w:cstheme="minorHAnsi"/>
          <w:color w:val="000000"/>
          <w:lang w:eastAsia="es-CL"/>
        </w:rPr>
        <w:t xml:space="preserve"> en diciembre 2020</w:t>
      </w:r>
      <w:r w:rsidR="00702ED2">
        <w:rPr>
          <w:rFonts w:eastAsia="Times New Roman" w:cstheme="minorHAnsi"/>
          <w:color w:val="000000"/>
          <w:lang w:eastAsia="es-CL"/>
        </w:rPr>
        <w:t>,</w:t>
      </w:r>
      <w:r w:rsidR="00E71C64" w:rsidRPr="008D35B1">
        <w:rPr>
          <w:rFonts w:eastAsia="Times New Roman" w:cstheme="minorHAnsi"/>
          <w:color w:val="000000"/>
          <w:lang w:eastAsia="es-CL"/>
        </w:rPr>
        <w:t xml:space="preserve"> </w:t>
      </w:r>
      <w:r w:rsidR="00C938AA">
        <w:rPr>
          <w:rFonts w:eastAsia="Times New Roman" w:cstheme="minorHAnsi"/>
          <w:color w:val="000000"/>
          <w:lang w:eastAsia="es-CL"/>
        </w:rPr>
        <w:t>3</w:t>
      </w:r>
      <w:r w:rsidR="00E71C64" w:rsidRPr="008D35B1">
        <w:rPr>
          <w:rFonts w:eastAsia="Times New Roman" w:cstheme="minorHAnsi"/>
          <w:color w:val="000000"/>
          <w:lang w:eastAsia="es-CL"/>
        </w:rPr>
        <w:t xml:space="preserve"> aportes de IFE</w:t>
      </w:r>
      <w:r w:rsidR="008457C2">
        <w:rPr>
          <w:rFonts w:eastAsia="Times New Roman" w:cstheme="minorHAnsi"/>
          <w:color w:val="000000"/>
          <w:lang w:eastAsia="es-CL"/>
        </w:rPr>
        <w:t xml:space="preserve"> y </w:t>
      </w:r>
      <w:r w:rsidR="00E71C64" w:rsidRPr="008D35B1">
        <w:rPr>
          <w:rFonts w:eastAsia="Times New Roman" w:cstheme="minorHAnsi"/>
          <w:color w:val="000000"/>
          <w:lang w:eastAsia="es-CL"/>
        </w:rPr>
        <w:t>Bono Covid</w:t>
      </w:r>
      <w:r w:rsidR="00D22E26">
        <w:rPr>
          <w:rFonts w:eastAsia="Times New Roman" w:cstheme="minorHAnsi"/>
          <w:color w:val="000000"/>
          <w:lang w:eastAsia="es-CL"/>
        </w:rPr>
        <w:t xml:space="preserve"> entre enero y </w:t>
      </w:r>
      <w:r w:rsidR="00C938AA">
        <w:rPr>
          <w:rFonts w:eastAsia="Times New Roman" w:cstheme="minorHAnsi"/>
          <w:color w:val="000000"/>
          <w:lang w:eastAsia="es-CL"/>
        </w:rPr>
        <w:t>marzo 2021, 2 aportes de IFE Ampliado en abril y mayo</w:t>
      </w:r>
      <w:r w:rsidR="00702ED2">
        <w:rPr>
          <w:rFonts w:eastAsia="Times New Roman" w:cstheme="minorHAnsi"/>
          <w:color w:val="000000"/>
          <w:lang w:eastAsia="es-CL"/>
        </w:rPr>
        <w:t xml:space="preserve"> </w:t>
      </w:r>
      <w:r w:rsidR="00D22E26">
        <w:rPr>
          <w:rFonts w:eastAsia="Times New Roman" w:cstheme="minorHAnsi"/>
          <w:color w:val="000000"/>
          <w:lang w:eastAsia="es-CL"/>
        </w:rPr>
        <w:t>2021</w:t>
      </w:r>
      <w:r w:rsidR="00C938AA">
        <w:rPr>
          <w:rFonts w:eastAsia="Times New Roman" w:cstheme="minorHAnsi"/>
          <w:color w:val="000000"/>
          <w:lang w:eastAsia="es-CL"/>
        </w:rPr>
        <w:t>,</w:t>
      </w:r>
      <w:r w:rsidR="00D22E26">
        <w:rPr>
          <w:rFonts w:eastAsia="Times New Roman" w:cstheme="minorHAnsi"/>
          <w:color w:val="000000"/>
          <w:lang w:eastAsia="es-CL"/>
        </w:rPr>
        <w:t xml:space="preserve"> </w:t>
      </w:r>
      <w:r w:rsidR="00702ED2">
        <w:rPr>
          <w:rFonts w:eastAsia="Times New Roman" w:cstheme="minorHAnsi"/>
          <w:color w:val="000000"/>
          <w:lang w:eastAsia="es-CL"/>
        </w:rPr>
        <w:t xml:space="preserve">y </w:t>
      </w:r>
      <w:r w:rsidR="00355612">
        <w:rPr>
          <w:rFonts w:eastAsia="Times New Roman" w:cstheme="minorHAnsi"/>
          <w:color w:val="000000"/>
          <w:lang w:eastAsia="es-CL"/>
        </w:rPr>
        <w:t xml:space="preserve">6 </w:t>
      </w:r>
      <w:r w:rsidR="00702ED2">
        <w:rPr>
          <w:rFonts w:eastAsia="Times New Roman" w:cstheme="minorHAnsi"/>
          <w:color w:val="000000"/>
          <w:lang w:eastAsia="es-CL"/>
        </w:rPr>
        <w:t>aporte</w:t>
      </w:r>
      <w:r w:rsidR="00F76147">
        <w:rPr>
          <w:rFonts w:eastAsia="Times New Roman" w:cstheme="minorHAnsi"/>
          <w:color w:val="000000"/>
          <w:lang w:eastAsia="es-CL"/>
        </w:rPr>
        <w:t>s</w:t>
      </w:r>
      <w:r w:rsidR="00702ED2">
        <w:rPr>
          <w:rFonts w:eastAsia="Times New Roman" w:cstheme="minorHAnsi"/>
          <w:color w:val="000000"/>
          <w:lang w:eastAsia="es-CL"/>
        </w:rPr>
        <w:t xml:space="preserve"> de IFE Universal</w:t>
      </w:r>
      <w:r w:rsidR="00D22E26">
        <w:rPr>
          <w:rFonts w:eastAsia="Times New Roman" w:cstheme="minorHAnsi"/>
          <w:color w:val="000000"/>
          <w:lang w:eastAsia="es-CL"/>
        </w:rPr>
        <w:t xml:space="preserve"> en</w:t>
      </w:r>
      <w:r w:rsidR="00355612">
        <w:rPr>
          <w:rFonts w:eastAsia="Times New Roman" w:cstheme="minorHAnsi"/>
          <w:color w:val="000000"/>
          <w:lang w:eastAsia="es-CL"/>
        </w:rPr>
        <w:t>tre</w:t>
      </w:r>
      <w:r w:rsidR="00D22E26">
        <w:rPr>
          <w:rFonts w:eastAsia="Times New Roman" w:cstheme="minorHAnsi"/>
          <w:color w:val="000000"/>
          <w:lang w:eastAsia="es-CL"/>
        </w:rPr>
        <w:t xml:space="preserve"> junio</w:t>
      </w:r>
      <w:r w:rsidR="00F76147">
        <w:rPr>
          <w:rFonts w:eastAsia="Times New Roman" w:cstheme="minorHAnsi"/>
          <w:color w:val="000000"/>
          <w:lang w:eastAsia="es-CL"/>
        </w:rPr>
        <w:t xml:space="preserve"> </w:t>
      </w:r>
      <w:r w:rsidR="00727FAF">
        <w:rPr>
          <w:rFonts w:eastAsia="Times New Roman" w:cstheme="minorHAnsi"/>
          <w:color w:val="000000"/>
          <w:lang w:eastAsia="es-CL"/>
        </w:rPr>
        <w:t xml:space="preserve">y </w:t>
      </w:r>
      <w:r w:rsidR="00355612">
        <w:rPr>
          <w:rFonts w:eastAsia="Times New Roman" w:cstheme="minorHAnsi"/>
          <w:color w:val="000000"/>
          <w:lang w:eastAsia="es-CL"/>
        </w:rPr>
        <w:t>noviembre</w:t>
      </w:r>
      <w:r w:rsidR="00884FDF">
        <w:rPr>
          <w:rFonts w:eastAsia="Times New Roman" w:cstheme="minorHAnsi"/>
          <w:color w:val="000000"/>
          <w:lang w:eastAsia="es-CL"/>
        </w:rPr>
        <w:t xml:space="preserve"> de</w:t>
      </w:r>
      <w:r w:rsidR="00F76147">
        <w:rPr>
          <w:rFonts w:eastAsia="Times New Roman" w:cstheme="minorHAnsi"/>
          <w:color w:val="000000"/>
          <w:lang w:eastAsia="es-CL"/>
        </w:rPr>
        <w:t xml:space="preserve"> </w:t>
      </w:r>
      <w:r w:rsidR="00D22E26">
        <w:rPr>
          <w:rFonts w:eastAsia="Times New Roman" w:cstheme="minorHAnsi"/>
          <w:color w:val="000000"/>
          <w:lang w:eastAsia="es-CL"/>
        </w:rPr>
        <w:t>2021</w:t>
      </w:r>
      <w:r w:rsidR="00E71C64" w:rsidRPr="008D35B1">
        <w:rPr>
          <w:rFonts w:eastAsia="Times New Roman" w:cstheme="minorHAnsi"/>
          <w:color w:val="000000"/>
          <w:lang w:eastAsia="es-CL"/>
        </w:rPr>
        <w:t xml:space="preserve">). </w:t>
      </w:r>
    </w:p>
    <w:p w14:paraId="75779890" w14:textId="107A3EAE" w:rsidR="00702E5A" w:rsidRPr="0098246A" w:rsidRDefault="00E71C64" w:rsidP="5B9B7726">
      <w:pPr>
        <w:jc w:val="both"/>
        <w:rPr>
          <w:rFonts w:eastAsia="Times New Roman"/>
          <w:color w:val="000000"/>
          <w:lang w:eastAsia="es-CL"/>
        </w:rPr>
      </w:pPr>
      <w:r w:rsidRPr="5B9B7726">
        <w:rPr>
          <w:rFonts w:eastAsia="Times New Roman"/>
          <w:b/>
          <w:bCs/>
          <w:color w:val="000000" w:themeColor="text1"/>
          <w:lang w:eastAsia="es-CL"/>
        </w:rPr>
        <w:t xml:space="preserve">2.- </w:t>
      </w:r>
      <w:r w:rsidR="008D35B1" w:rsidRPr="5B9B7726">
        <w:rPr>
          <w:rFonts w:eastAsia="Times New Roman"/>
          <w:b/>
          <w:bCs/>
          <w:color w:val="000000" w:themeColor="text1"/>
          <w:lang w:eastAsia="es-CL"/>
        </w:rPr>
        <w:t xml:space="preserve">Aumento </w:t>
      </w:r>
      <w:r w:rsidR="00D564BE" w:rsidRPr="5B9B7726">
        <w:rPr>
          <w:rFonts w:eastAsia="Times New Roman"/>
          <w:b/>
          <w:bCs/>
          <w:color w:val="000000" w:themeColor="text1"/>
          <w:lang w:eastAsia="es-CL"/>
        </w:rPr>
        <w:t xml:space="preserve">en </w:t>
      </w:r>
      <w:r w:rsidR="008D35B1" w:rsidRPr="5B9B7726">
        <w:rPr>
          <w:rFonts w:eastAsia="Times New Roman"/>
          <w:b/>
          <w:bCs/>
          <w:color w:val="000000" w:themeColor="text1"/>
          <w:lang w:eastAsia="es-CL"/>
        </w:rPr>
        <w:t>cobertura</w:t>
      </w:r>
      <w:r w:rsidR="00311EBE" w:rsidRPr="5B9B7726">
        <w:rPr>
          <w:rFonts w:eastAsia="Times New Roman"/>
          <w:b/>
          <w:bCs/>
          <w:color w:val="000000" w:themeColor="text1"/>
          <w:lang w:eastAsia="es-CL"/>
        </w:rPr>
        <w:t xml:space="preserve"> efectiva </w:t>
      </w:r>
      <w:r w:rsidR="00884FDF">
        <w:rPr>
          <w:rFonts w:eastAsia="Times New Roman"/>
          <w:b/>
          <w:bCs/>
          <w:color w:val="000000" w:themeColor="text1"/>
          <w:lang w:eastAsia="es-CL"/>
        </w:rPr>
        <w:t xml:space="preserve">a </w:t>
      </w:r>
      <w:r w:rsidR="00355612">
        <w:rPr>
          <w:rFonts w:eastAsia="Times New Roman"/>
          <w:b/>
          <w:bCs/>
          <w:color w:val="000000" w:themeColor="text1"/>
          <w:lang w:eastAsia="es-CL"/>
        </w:rPr>
        <w:t>noviembre</w:t>
      </w:r>
      <w:r w:rsidR="000D5A33" w:rsidRPr="5B9B7726">
        <w:rPr>
          <w:rFonts w:eastAsia="Times New Roman"/>
          <w:b/>
          <w:bCs/>
          <w:color w:val="000000" w:themeColor="text1"/>
          <w:lang w:eastAsia="es-CL"/>
        </w:rPr>
        <w:t xml:space="preserve"> </w:t>
      </w:r>
      <w:r w:rsidR="00311EBE" w:rsidRPr="5B9B7726">
        <w:rPr>
          <w:rFonts w:eastAsia="Times New Roman"/>
          <w:b/>
          <w:bCs/>
          <w:color w:val="000000" w:themeColor="text1"/>
          <w:lang w:eastAsia="es-CL"/>
        </w:rPr>
        <w:t>de 2021</w:t>
      </w:r>
      <w:r w:rsidR="002D4FC7">
        <w:rPr>
          <w:rFonts w:eastAsia="Times New Roman"/>
          <w:b/>
          <w:bCs/>
          <w:color w:val="000000" w:themeColor="text1"/>
          <w:lang w:eastAsia="es-CL"/>
        </w:rPr>
        <w:t xml:space="preserve">: </w:t>
      </w:r>
      <w:r w:rsidR="008D35B1" w:rsidRPr="00F21DAC">
        <w:rPr>
          <w:rFonts w:eastAsia="Times New Roman"/>
          <w:b/>
          <w:bCs/>
          <w:color w:val="000000" w:themeColor="text1"/>
          <w:lang w:eastAsia="es-CL"/>
        </w:rPr>
        <w:t xml:space="preserve">el número de hogares beneficiarios ha aumentado </w:t>
      </w:r>
      <w:r w:rsidR="00050A56">
        <w:rPr>
          <w:rFonts w:eastAsia="Times New Roman"/>
          <w:b/>
          <w:bCs/>
          <w:color w:val="000000" w:themeColor="text1"/>
          <w:lang w:eastAsia="es-CL"/>
        </w:rPr>
        <w:t>562</w:t>
      </w:r>
      <w:r w:rsidR="008D35B1" w:rsidRPr="00FD7D76">
        <w:rPr>
          <w:rFonts w:eastAsia="Times New Roman"/>
          <w:b/>
          <w:bCs/>
          <w:color w:val="000000" w:themeColor="text1"/>
          <w:lang w:eastAsia="es-CL"/>
        </w:rPr>
        <w:t>% entre el primer aporte</w:t>
      </w:r>
      <w:r w:rsidR="006967F1" w:rsidRPr="00FD7D76">
        <w:rPr>
          <w:rFonts w:eastAsia="Times New Roman"/>
          <w:b/>
          <w:bCs/>
          <w:color w:val="000000" w:themeColor="text1"/>
          <w:lang w:eastAsia="es-CL"/>
        </w:rPr>
        <w:t xml:space="preserve"> </w:t>
      </w:r>
      <w:r w:rsidR="00D22E26" w:rsidRPr="00FD7D76">
        <w:rPr>
          <w:rFonts w:eastAsia="Times New Roman"/>
          <w:b/>
          <w:bCs/>
          <w:color w:val="000000" w:themeColor="text1"/>
          <w:lang w:eastAsia="es-CL"/>
        </w:rPr>
        <w:t>de mayo 2020</w:t>
      </w:r>
      <w:r w:rsidR="007D683C" w:rsidRPr="00FD7D76">
        <w:rPr>
          <w:rFonts w:eastAsia="Times New Roman"/>
          <w:b/>
          <w:bCs/>
          <w:color w:val="000000" w:themeColor="text1"/>
          <w:lang w:eastAsia="es-CL"/>
        </w:rPr>
        <w:t xml:space="preserve"> </w:t>
      </w:r>
      <w:r w:rsidR="008D35B1" w:rsidRPr="00FD7D76">
        <w:rPr>
          <w:rFonts w:eastAsia="Times New Roman"/>
          <w:b/>
          <w:bCs/>
          <w:color w:val="000000" w:themeColor="text1"/>
          <w:lang w:eastAsia="es-CL"/>
        </w:rPr>
        <w:t xml:space="preserve">y el </w:t>
      </w:r>
      <w:r w:rsidR="00AD659B" w:rsidRPr="00FD7D76">
        <w:rPr>
          <w:rFonts w:eastAsia="Times New Roman"/>
          <w:b/>
          <w:bCs/>
          <w:color w:val="000000" w:themeColor="text1"/>
          <w:lang w:eastAsia="es-CL"/>
        </w:rPr>
        <w:t>último aporte de</w:t>
      </w:r>
      <w:r w:rsidR="002B0C91">
        <w:rPr>
          <w:rFonts w:eastAsia="Times New Roman"/>
          <w:b/>
          <w:bCs/>
          <w:color w:val="000000" w:themeColor="text1"/>
          <w:lang w:eastAsia="es-CL"/>
        </w:rPr>
        <w:t xml:space="preserve"> </w:t>
      </w:r>
      <w:r w:rsidR="00355612">
        <w:rPr>
          <w:rFonts w:eastAsia="Times New Roman"/>
          <w:b/>
          <w:bCs/>
          <w:color w:val="000000" w:themeColor="text1"/>
          <w:lang w:eastAsia="es-CL"/>
        </w:rPr>
        <w:t>noviembre</w:t>
      </w:r>
      <w:r w:rsidR="00AD659B" w:rsidRPr="00FD7D76">
        <w:rPr>
          <w:rFonts w:eastAsia="Times New Roman"/>
          <w:b/>
          <w:bCs/>
          <w:color w:val="000000" w:themeColor="text1"/>
          <w:lang w:eastAsia="es-CL"/>
        </w:rPr>
        <w:t xml:space="preserve"> 2021</w:t>
      </w:r>
      <w:r w:rsidR="00BA7C98" w:rsidRPr="00FD7D76">
        <w:rPr>
          <w:rFonts w:eastAsia="Times New Roman"/>
          <w:b/>
          <w:bCs/>
          <w:color w:val="000000" w:themeColor="text1"/>
          <w:lang w:eastAsia="es-CL"/>
        </w:rPr>
        <w:t xml:space="preserve">, </w:t>
      </w:r>
      <w:r w:rsidR="00311EBE" w:rsidRPr="00FD7D76">
        <w:rPr>
          <w:rFonts w:eastAsia="Times New Roman"/>
          <w:b/>
          <w:bCs/>
          <w:color w:val="000000" w:themeColor="text1"/>
          <w:lang w:eastAsia="es-CL"/>
        </w:rPr>
        <w:t>el de mayor cobertura a la fecha</w:t>
      </w:r>
      <w:r w:rsidR="008D35B1" w:rsidRPr="00FD7D76">
        <w:rPr>
          <w:rFonts w:eastAsia="Times New Roman"/>
          <w:color w:val="000000" w:themeColor="text1"/>
          <w:lang w:eastAsia="es-CL"/>
        </w:rPr>
        <w:t xml:space="preserve">. En el primer aporte, pagado en mayo de 2020, </w:t>
      </w:r>
      <w:r w:rsidR="577A03CD" w:rsidRPr="00FD7D76">
        <w:rPr>
          <w:rFonts w:eastAsia="Times New Roman"/>
          <w:color w:val="000000" w:themeColor="text1"/>
          <w:lang w:eastAsia="es-CL"/>
        </w:rPr>
        <w:t>1.26</w:t>
      </w:r>
      <w:r w:rsidR="0001568B">
        <w:rPr>
          <w:rFonts w:eastAsia="Times New Roman"/>
          <w:color w:val="000000" w:themeColor="text1"/>
          <w:lang w:eastAsia="es-CL"/>
        </w:rPr>
        <w:t>5</w:t>
      </w:r>
      <w:r w:rsidR="577A03CD" w:rsidRPr="00FD7D76">
        <w:rPr>
          <w:rFonts w:eastAsia="Times New Roman"/>
          <w:color w:val="000000" w:themeColor="text1"/>
          <w:lang w:eastAsia="es-CL"/>
        </w:rPr>
        <w:t>.</w:t>
      </w:r>
      <w:r w:rsidR="00675F13">
        <w:rPr>
          <w:rFonts w:eastAsia="Times New Roman"/>
          <w:color w:val="000000" w:themeColor="text1"/>
          <w:lang w:eastAsia="es-CL"/>
        </w:rPr>
        <w:t>123</w:t>
      </w:r>
      <w:r w:rsidR="008D35B1" w:rsidRPr="00FD7D76">
        <w:rPr>
          <w:rFonts w:eastAsia="Times New Roman"/>
          <w:color w:val="000000" w:themeColor="text1"/>
          <w:lang w:eastAsia="es-CL"/>
        </w:rPr>
        <w:t xml:space="preserve"> hogares recibieron el beneficio, mientras </w:t>
      </w:r>
      <w:r w:rsidR="005E2AF9" w:rsidRPr="00FD7D76">
        <w:rPr>
          <w:rFonts w:eastAsia="Times New Roman"/>
          <w:color w:val="000000" w:themeColor="text1"/>
          <w:lang w:eastAsia="es-CL"/>
        </w:rPr>
        <w:t>que</w:t>
      </w:r>
      <w:r w:rsidR="008D35B1" w:rsidRPr="00FD7D76">
        <w:rPr>
          <w:rFonts w:eastAsia="Times New Roman"/>
          <w:color w:val="000000" w:themeColor="text1"/>
          <w:lang w:eastAsia="es-CL"/>
        </w:rPr>
        <w:t xml:space="preserve"> en el </w:t>
      </w:r>
      <w:r w:rsidR="006967F1" w:rsidRPr="00FD7D76">
        <w:rPr>
          <w:rFonts w:eastAsia="Times New Roman"/>
          <w:color w:val="000000" w:themeColor="text1"/>
          <w:lang w:eastAsia="es-CL"/>
        </w:rPr>
        <w:t xml:space="preserve">último pago </w:t>
      </w:r>
      <w:r w:rsidR="003047D0">
        <w:rPr>
          <w:rFonts w:eastAsia="Times New Roman"/>
          <w:color w:val="000000" w:themeColor="text1"/>
          <w:lang w:eastAsia="es-CL"/>
        </w:rPr>
        <w:t>correspondiente a</w:t>
      </w:r>
      <w:r w:rsidR="002E04F9">
        <w:rPr>
          <w:rFonts w:eastAsia="Times New Roman"/>
          <w:color w:val="000000" w:themeColor="text1"/>
          <w:lang w:eastAsia="es-CL"/>
        </w:rPr>
        <w:t xml:space="preserve"> </w:t>
      </w:r>
      <w:r w:rsidR="00050A56">
        <w:rPr>
          <w:rFonts w:eastAsia="Times New Roman"/>
          <w:color w:val="000000" w:themeColor="text1"/>
          <w:lang w:eastAsia="es-CL"/>
        </w:rPr>
        <w:t>noviembre</w:t>
      </w:r>
      <w:r w:rsidR="00050A56" w:rsidRPr="00FD7D76">
        <w:rPr>
          <w:rFonts w:eastAsia="Times New Roman"/>
          <w:color w:val="000000" w:themeColor="text1"/>
          <w:lang w:eastAsia="es-CL"/>
        </w:rPr>
        <w:t xml:space="preserve"> </w:t>
      </w:r>
      <w:r w:rsidR="00702E5A" w:rsidRPr="00FD7D76">
        <w:rPr>
          <w:rFonts w:eastAsia="Times New Roman"/>
          <w:color w:val="000000" w:themeColor="text1"/>
          <w:lang w:eastAsia="es-CL"/>
        </w:rPr>
        <w:t>de 2021</w:t>
      </w:r>
      <w:r w:rsidR="003047D0">
        <w:rPr>
          <w:rFonts w:eastAsia="Times New Roman"/>
          <w:color w:val="000000" w:themeColor="text1"/>
          <w:lang w:eastAsia="es-CL"/>
        </w:rPr>
        <w:t xml:space="preserve"> </w:t>
      </w:r>
      <w:r w:rsidR="008D35B1" w:rsidRPr="00FD7D76">
        <w:rPr>
          <w:rFonts w:eastAsia="Times New Roman"/>
          <w:color w:val="000000" w:themeColor="text1"/>
          <w:lang w:eastAsia="es-CL"/>
        </w:rPr>
        <w:t xml:space="preserve">el número de hogares </w:t>
      </w:r>
      <w:r w:rsidR="00702E5A" w:rsidRPr="00FD7D76">
        <w:rPr>
          <w:rFonts w:eastAsia="Times New Roman"/>
          <w:color w:val="000000" w:themeColor="text1"/>
          <w:lang w:eastAsia="es-CL"/>
        </w:rPr>
        <w:t xml:space="preserve">beneficiarios es </w:t>
      </w:r>
      <w:r w:rsidR="00050A56">
        <w:rPr>
          <w:rFonts w:eastAsia="Times New Roman"/>
          <w:color w:val="000000" w:themeColor="text1"/>
          <w:lang w:eastAsia="es-CL"/>
        </w:rPr>
        <w:t>8.374.718</w:t>
      </w:r>
      <w:r w:rsidR="00973A8B">
        <w:rPr>
          <w:rFonts w:eastAsia="Times New Roman"/>
          <w:color w:val="000000" w:themeColor="text1"/>
          <w:lang w:eastAsia="es-CL"/>
        </w:rPr>
        <w:t>.</w:t>
      </w:r>
    </w:p>
    <w:p w14:paraId="3B4AEE8C" w14:textId="0BD879DD" w:rsidR="008D35B1" w:rsidRPr="006E0B95" w:rsidRDefault="008D35B1">
      <w:pPr>
        <w:spacing w:before="240" w:after="240" w:line="240" w:lineRule="auto"/>
        <w:jc w:val="both"/>
        <w:rPr>
          <w:rFonts w:eastAsia="Times New Roman"/>
          <w:color w:val="000000"/>
          <w:lang w:eastAsia="es-CL"/>
        </w:rPr>
      </w:pPr>
      <w:r w:rsidRPr="5B9B7726">
        <w:rPr>
          <w:rFonts w:eastAsia="Times New Roman"/>
          <w:color w:val="000000" w:themeColor="text1"/>
          <w:lang w:eastAsia="es-CL"/>
        </w:rPr>
        <w:t xml:space="preserve">Por su parte, </w:t>
      </w:r>
      <w:r w:rsidRPr="006E0B95">
        <w:rPr>
          <w:rFonts w:eastAsia="Times New Roman"/>
          <w:b/>
          <w:bCs/>
          <w:color w:val="000000" w:themeColor="text1"/>
          <w:lang w:eastAsia="es-CL"/>
        </w:rPr>
        <w:t xml:space="preserve">el número de personas beneficiadas aumentó </w:t>
      </w:r>
      <w:r w:rsidR="00050A56">
        <w:rPr>
          <w:rFonts w:eastAsia="Times New Roman"/>
          <w:b/>
          <w:bCs/>
          <w:color w:val="000000" w:themeColor="text1"/>
          <w:lang w:eastAsia="es-CL"/>
        </w:rPr>
        <w:t>363</w:t>
      </w:r>
      <w:r w:rsidR="000F6856">
        <w:rPr>
          <w:rFonts w:eastAsia="Times New Roman"/>
          <w:b/>
          <w:bCs/>
          <w:color w:val="000000" w:themeColor="text1"/>
          <w:lang w:eastAsia="es-CL"/>
        </w:rPr>
        <w:t>%</w:t>
      </w:r>
      <w:r w:rsidRPr="006E0B95">
        <w:rPr>
          <w:rFonts w:eastAsia="Times New Roman"/>
          <w:b/>
          <w:bCs/>
          <w:color w:val="000000" w:themeColor="text1"/>
          <w:lang w:eastAsia="es-CL"/>
        </w:rPr>
        <w:t xml:space="preserve"> entre el primer </w:t>
      </w:r>
      <w:r w:rsidR="00D22E26">
        <w:rPr>
          <w:rFonts w:eastAsia="Times New Roman"/>
          <w:b/>
          <w:bCs/>
          <w:color w:val="000000" w:themeColor="text1"/>
          <w:lang w:eastAsia="es-CL"/>
        </w:rPr>
        <w:t xml:space="preserve">de mayo 2020 </w:t>
      </w:r>
      <w:r w:rsidRPr="006E0B95">
        <w:rPr>
          <w:rFonts w:eastAsia="Times New Roman"/>
          <w:b/>
          <w:bCs/>
          <w:color w:val="000000" w:themeColor="text1"/>
          <w:lang w:eastAsia="es-CL"/>
        </w:rPr>
        <w:t xml:space="preserve">y </w:t>
      </w:r>
      <w:r w:rsidR="004B7EED" w:rsidRPr="006E0B95">
        <w:rPr>
          <w:rFonts w:eastAsia="Times New Roman"/>
          <w:b/>
          <w:bCs/>
          <w:color w:val="000000" w:themeColor="text1"/>
          <w:lang w:eastAsia="es-CL"/>
        </w:rPr>
        <w:t xml:space="preserve">último aporte </w:t>
      </w:r>
      <w:r w:rsidR="00FE0C02" w:rsidRPr="007D683C">
        <w:rPr>
          <w:rFonts w:eastAsia="Times New Roman"/>
          <w:b/>
          <w:bCs/>
          <w:color w:val="000000" w:themeColor="text1"/>
          <w:lang w:eastAsia="es-CL"/>
        </w:rPr>
        <w:t xml:space="preserve">de </w:t>
      </w:r>
      <w:r w:rsidR="00355612">
        <w:rPr>
          <w:rFonts w:eastAsia="Times New Roman"/>
          <w:b/>
          <w:bCs/>
          <w:color w:val="000000" w:themeColor="text1"/>
          <w:lang w:eastAsia="es-CL"/>
        </w:rPr>
        <w:t>noviembre</w:t>
      </w:r>
      <w:r w:rsidR="00503E5B">
        <w:rPr>
          <w:rFonts w:eastAsia="Times New Roman"/>
          <w:b/>
          <w:bCs/>
          <w:color w:val="000000" w:themeColor="text1"/>
          <w:lang w:eastAsia="es-CL"/>
        </w:rPr>
        <w:t xml:space="preserve"> </w:t>
      </w:r>
      <w:r w:rsidR="004B7EED" w:rsidRPr="007D683C">
        <w:rPr>
          <w:rFonts w:eastAsia="Times New Roman"/>
          <w:b/>
          <w:bCs/>
          <w:color w:val="000000" w:themeColor="text1"/>
          <w:lang w:eastAsia="es-CL"/>
        </w:rPr>
        <w:t>de 2021</w:t>
      </w:r>
      <w:r w:rsidRPr="007D683C">
        <w:rPr>
          <w:rFonts w:eastAsia="Times New Roman"/>
          <w:b/>
          <w:bCs/>
          <w:color w:val="000000" w:themeColor="text1"/>
          <w:lang w:eastAsia="es-CL"/>
        </w:rPr>
        <w:t>.</w:t>
      </w:r>
      <w:r w:rsidRPr="006E0B95">
        <w:rPr>
          <w:rFonts w:eastAsia="Times New Roman"/>
          <w:color w:val="000000" w:themeColor="text1"/>
          <w:lang w:eastAsia="es-CL"/>
        </w:rPr>
        <w:t xml:space="preserve"> Mientras el primer aporte del IFE llegó a </w:t>
      </w:r>
      <w:r w:rsidR="0AD35119" w:rsidRPr="006E0B95">
        <w:rPr>
          <w:rFonts w:eastAsia="Times New Roman"/>
          <w:color w:val="000000" w:themeColor="text1"/>
          <w:lang w:eastAsia="es-CL"/>
        </w:rPr>
        <w:t>3.617.</w:t>
      </w:r>
      <w:r w:rsidR="001E6D30">
        <w:rPr>
          <w:rFonts w:eastAsia="Times New Roman"/>
          <w:color w:val="000000" w:themeColor="text1"/>
          <w:lang w:eastAsia="es-CL"/>
        </w:rPr>
        <w:t>768</w:t>
      </w:r>
      <w:r w:rsidRPr="006E0B95">
        <w:rPr>
          <w:rFonts w:eastAsia="Times New Roman"/>
          <w:color w:val="000000" w:themeColor="text1"/>
          <w:lang w:eastAsia="es-CL"/>
        </w:rPr>
        <w:t xml:space="preserve"> personas, el </w:t>
      </w:r>
      <w:r w:rsidR="004B7EED" w:rsidRPr="006E0B95">
        <w:rPr>
          <w:rFonts w:eastAsia="Times New Roman"/>
          <w:color w:val="000000" w:themeColor="text1"/>
          <w:lang w:eastAsia="es-CL"/>
        </w:rPr>
        <w:t xml:space="preserve">aporte de </w:t>
      </w:r>
      <w:r w:rsidR="00050A56">
        <w:rPr>
          <w:rFonts w:eastAsia="Times New Roman"/>
          <w:color w:val="000000" w:themeColor="text1"/>
          <w:lang w:eastAsia="es-CL"/>
        </w:rPr>
        <w:t>noviembre</w:t>
      </w:r>
      <w:r w:rsidR="00050A56" w:rsidRPr="006E0B95">
        <w:rPr>
          <w:rFonts w:eastAsia="Times New Roman"/>
          <w:color w:val="000000" w:themeColor="text1"/>
          <w:lang w:eastAsia="es-CL"/>
        </w:rPr>
        <w:t xml:space="preserve"> </w:t>
      </w:r>
      <w:r w:rsidR="004B7EED" w:rsidRPr="006E0B95">
        <w:rPr>
          <w:rFonts w:eastAsia="Times New Roman"/>
          <w:color w:val="000000" w:themeColor="text1"/>
          <w:lang w:eastAsia="es-CL"/>
        </w:rPr>
        <w:t>de 2021</w:t>
      </w:r>
      <w:r w:rsidR="00383593" w:rsidRPr="006E0B95">
        <w:rPr>
          <w:rFonts w:eastAsia="Times New Roman"/>
          <w:color w:val="000000" w:themeColor="text1"/>
          <w:lang w:eastAsia="es-CL"/>
        </w:rPr>
        <w:t xml:space="preserve"> </w:t>
      </w:r>
      <w:r w:rsidR="008F5690" w:rsidRPr="006E0B95">
        <w:rPr>
          <w:rFonts w:eastAsia="Times New Roman"/>
          <w:color w:val="000000" w:themeColor="text1"/>
          <w:lang w:eastAsia="es-CL"/>
        </w:rPr>
        <w:t>alcanza</w:t>
      </w:r>
      <w:r w:rsidR="000B6157" w:rsidRPr="006E0B95">
        <w:rPr>
          <w:rFonts w:eastAsia="Times New Roman"/>
          <w:color w:val="000000" w:themeColor="text1"/>
          <w:lang w:eastAsia="es-CL"/>
        </w:rPr>
        <w:t xml:space="preserve"> a más de </w:t>
      </w:r>
      <w:r w:rsidR="008F5690" w:rsidRPr="006E0B95">
        <w:rPr>
          <w:rFonts w:eastAsia="Times New Roman"/>
          <w:color w:val="000000" w:themeColor="text1"/>
          <w:lang w:eastAsia="es-CL"/>
        </w:rPr>
        <w:t>1</w:t>
      </w:r>
      <w:r w:rsidR="00CC75C3">
        <w:rPr>
          <w:rFonts w:eastAsia="Times New Roman"/>
          <w:color w:val="000000" w:themeColor="text1"/>
          <w:lang w:eastAsia="es-CL"/>
        </w:rPr>
        <w:t>6</w:t>
      </w:r>
      <w:r w:rsidR="00296C5A">
        <w:rPr>
          <w:rFonts w:eastAsia="Times New Roman"/>
          <w:color w:val="000000" w:themeColor="text1"/>
          <w:lang w:eastAsia="es-CL"/>
        </w:rPr>
        <w:t>,</w:t>
      </w:r>
      <w:r w:rsidR="000920C4">
        <w:rPr>
          <w:rFonts w:eastAsia="Times New Roman"/>
          <w:color w:val="000000" w:themeColor="text1"/>
          <w:lang w:eastAsia="es-CL"/>
        </w:rPr>
        <w:t>7</w:t>
      </w:r>
      <w:r w:rsidR="00296C5A">
        <w:rPr>
          <w:rFonts w:eastAsia="Times New Roman"/>
          <w:color w:val="000000" w:themeColor="text1"/>
          <w:lang w:eastAsia="es-CL"/>
        </w:rPr>
        <w:t xml:space="preserve"> </w:t>
      </w:r>
      <w:r w:rsidR="008F5690" w:rsidRPr="006E0B95">
        <w:rPr>
          <w:rFonts w:eastAsia="Times New Roman"/>
          <w:color w:val="000000" w:themeColor="text1"/>
          <w:lang w:eastAsia="es-CL"/>
        </w:rPr>
        <w:t>millones de personas (</w:t>
      </w:r>
      <w:r w:rsidR="00050A56">
        <w:rPr>
          <w:rFonts w:eastAsia="Times New Roman"/>
          <w:color w:val="000000" w:themeColor="text1"/>
          <w:lang w:eastAsia="es-CL"/>
        </w:rPr>
        <w:t>16.737.359</w:t>
      </w:r>
      <w:r w:rsidR="00F43BE7" w:rsidRPr="006E0B95">
        <w:rPr>
          <w:rFonts w:eastAsia="Times New Roman"/>
          <w:color w:val="000000" w:themeColor="text1"/>
          <w:lang w:eastAsia="es-CL"/>
        </w:rPr>
        <w:t xml:space="preserve"> </w:t>
      </w:r>
      <w:r w:rsidRPr="006E0B95">
        <w:rPr>
          <w:rFonts w:eastAsia="Times New Roman"/>
          <w:color w:val="000000" w:themeColor="text1"/>
          <w:lang w:eastAsia="es-CL"/>
        </w:rPr>
        <w:t>personas</w:t>
      </w:r>
      <w:r w:rsidR="008F5690" w:rsidRPr="006E0B95">
        <w:rPr>
          <w:rFonts w:eastAsia="Times New Roman"/>
          <w:color w:val="000000" w:themeColor="text1"/>
          <w:lang w:eastAsia="es-CL"/>
        </w:rPr>
        <w:t>)</w:t>
      </w:r>
      <w:r w:rsidRPr="006E0B95">
        <w:rPr>
          <w:rFonts w:eastAsia="Times New Roman"/>
          <w:color w:val="000000" w:themeColor="text1"/>
          <w:lang w:eastAsia="es-CL"/>
        </w:rPr>
        <w:t>.</w:t>
      </w:r>
      <w:r w:rsidR="00311EBE" w:rsidRPr="006E0B95">
        <w:rPr>
          <w:rFonts w:eastAsia="Times New Roman"/>
          <w:color w:val="000000" w:themeColor="text1"/>
          <w:lang w:eastAsia="es-CL"/>
        </w:rPr>
        <w:t xml:space="preserve"> </w:t>
      </w:r>
    </w:p>
    <w:p w14:paraId="3E5F0514" w14:textId="4D42BB75" w:rsidR="00311EBE" w:rsidRDefault="00022C71" w:rsidP="0016387A">
      <w:pPr>
        <w:jc w:val="both"/>
        <w:rPr>
          <w:rFonts w:eastAsia="Times New Roman"/>
          <w:color w:val="000000" w:themeColor="text1"/>
          <w:lang w:eastAsia="es-CL"/>
        </w:rPr>
      </w:pPr>
      <w:r w:rsidRPr="001A7762">
        <w:rPr>
          <w:rFonts w:eastAsia="Times New Roman"/>
          <w:color w:val="000000" w:themeColor="text1"/>
          <w:lang w:eastAsia="es-CL"/>
        </w:rPr>
        <w:t xml:space="preserve">Así, </w:t>
      </w:r>
      <w:r w:rsidR="00027F98" w:rsidRPr="006E0B95">
        <w:rPr>
          <w:rFonts w:eastAsia="Times New Roman"/>
          <w:color w:val="000000" w:themeColor="text1"/>
          <w:lang w:eastAsia="es-CL"/>
        </w:rPr>
        <w:t xml:space="preserve">para el pago del mes de </w:t>
      </w:r>
      <w:r w:rsidR="00355612">
        <w:rPr>
          <w:rFonts w:eastAsia="Times New Roman"/>
          <w:color w:val="000000" w:themeColor="text1"/>
          <w:lang w:eastAsia="es-CL"/>
        </w:rPr>
        <w:t>noviembre</w:t>
      </w:r>
      <w:r w:rsidR="00503E5B" w:rsidRPr="006E0B95">
        <w:rPr>
          <w:rFonts w:eastAsia="Times New Roman"/>
          <w:color w:val="000000" w:themeColor="text1"/>
          <w:lang w:eastAsia="es-CL"/>
        </w:rPr>
        <w:t xml:space="preserve"> </w:t>
      </w:r>
      <w:r w:rsidR="00027F98" w:rsidRPr="006E0B95">
        <w:rPr>
          <w:rFonts w:eastAsia="Times New Roman"/>
          <w:color w:val="000000" w:themeColor="text1"/>
          <w:lang w:eastAsia="es-CL"/>
        </w:rPr>
        <w:t>de 2021</w:t>
      </w:r>
      <w:r w:rsidR="006E0B95" w:rsidRPr="001A7762">
        <w:rPr>
          <w:rFonts w:eastAsia="Times New Roman"/>
          <w:color w:val="000000" w:themeColor="text1"/>
          <w:lang w:eastAsia="es-CL"/>
        </w:rPr>
        <w:t xml:space="preserve"> </w:t>
      </w:r>
      <w:r w:rsidR="00704185" w:rsidRPr="006E0B95">
        <w:rPr>
          <w:rFonts w:eastAsia="Times New Roman"/>
          <w:color w:val="000000" w:themeColor="text1"/>
          <w:lang w:eastAsia="es-CL"/>
        </w:rPr>
        <w:t>la cobertura total</w:t>
      </w:r>
      <w:r w:rsidR="00654F58" w:rsidRPr="001A7762">
        <w:rPr>
          <w:rFonts w:eastAsia="Times New Roman"/>
          <w:color w:val="000000" w:themeColor="text1"/>
          <w:lang w:eastAsia="es-CL"/>
        </w:rPr>
        <w:t xml:space="preserve"> es</w:t>
      </w:r>
      <w:r w:rsidR="00704185" w:rsidRPr="006E0B95">
        <w:rPr>
          <w:rFonts w:eastAsia="Times New Roman"/>
          <w:color w:val="000000" w:themeColor="text1"/>
          <w:lang w:eastAsia="es-CL"/>
        </w:rPr>
        <w:t xml:space="preserve"> de </w:t>
      </w:r>
      <w:r w:rsidR="000E6EAB">
        <w:rPr>
          <w:rFonts w:eastAsia="Times New Roman"/>
          <w:color w:val="000000" w:themeColor="text1"/>
          <w:lang w:eastAsia="es-CL"/>
        </w:rPr>
        <w:t>6</w:t>
      </w:r>
      <w:r w:rsidR="006C413E">
        <w:rPr>
          <w:rFonts w:eastAsia="Times New Roman"/>
          <w:color w:val="000000" w:themeColor="text1"/>
          <w:lang w:eastAsia="es-CL"/>
        </w:rPr>
        <w:t>,</w:t>
      </w:r>
      <w:r w:rsidR="00503E5B">
        <w:rPr>
          <w:rFonts w:eastAsia="Times New Roman"/>
          <w:color w:val="000000" w:themeColor="text1"/>
          <w:lang w:eastAsia="es-CL"/>
        </w:rPr>
        <w:t>6</w:t>
      </w:r>
      <w:r w:rsidR="00AF5675" w:rsidRPr="006E0B95">
        <w:rPr>
          <w:rFonts w:eastAsia="Times New Roman"/>
          <w:color w:val="000000" w:themeColor="text1"/>
          <w:lang w:eastAsia="es-CL"/>
        </w:rPr>
        <w:t xml:space="preserve"> y </w:t>
      </w:r>
      <w:r w:rsidR="003640BF">
        <w:rPr>
          <w:rFonts w:eastAsia="Times New Roman"/>
          <w:color w:val="000000" w:themeColor="text1"/>
          <w:lang w:eastAsia="es-CL"/>
        </w:rPr>
        <w:t>4</w:t>
      </w:r>
      <w:r w:rsidR="000E6EAB">
        <w:rPr>
          <w:rFonts w:eastAsia="Times New Roman"/>
          <w:color w:val="000000" w:themeColor="text1"/>
          <w:lang w:eastAsia="es-CL"/>
        </w:rPr>
        <w:t>,</w:t>
      </w:r>
      <w:r w:rsidR="006217A3">
        <w:rPr>
          <w:rFonts w:eastAsia="Times New Roman"/>
          <w:color w:val="000000" w:themeColor="text1"/>
          <w:lang w:eastAsia="es-CL"/>
        </w:rPr>
        <w:t>6</w:t>
      </w:r>
      <w:r w:rsidR="00AF5675" w:rsidRPr="006E0B95">
        <w:rPr>
          <w:rFonts w:eastAsia="Times New Roman"/>
          <w:color w:val="000000" w:themeColor="text1"/>
          <w:lang w:eastAsia="es-CL"/>
        </w:rPr>
        <w:t xml:space="preserve"> veces la cantidad de hogares y personas</w:t>
      </w:r>
      <w:r w:rsidR="004C4CE8">
        <w:rPr>
          <w:rFonts w:eastAsia="Times New Roman"/>
          <w:color w:val="000000" w:themeColor="text1"/>
          <w:lang w:eastAsia="es-CL"/>
        </w:rPr>
        <w:t xml:space="preserve">, </w:t>
      </w:r>
      <w:r w:rsidR="00B840A4">
        <w:rPr>
          <w:rFonts w:eastAsia="Times New Roman"/>
          <w:color w:val="000000" w:themeColor="text1"/>
          <w:lang w:eastAsia="es-CL"/>
        </w:rPr>
        <w:t>respectivamente</w:t>
      </w:r>
      <w:r w:rsidR="004C4CE8">
        <w:rPr>
          <w:rFonts w:eastAsia="Times New Roman"/>
          <w:color w:val="000000" w:themeColor="text1"/>
          <w:lang w:eastAsia="es-CL"/>
        </w:rPr>
        <w:t>,</w:t>
      </w:r>
      <w:r w:rsidR="00311EBE" w:rsidRPr="006E0B95">
        <w:rPr>
          <w:rFonts w:eastAsia="Times New Roman"/>
          <w:color w:val="000000" w:themeColor="text1"/>
          <w:lang w:eastAsia="es-CL"/>
        </w:rPr>
        <w:t xml:space="preserve"> alcanzada</w:t>
      </w:r>
      <w:r w:rsidR="00D22E26">
        <w:rPr>
          <w:rFonts w:eastAsia="Times New Roman"/>
          <w:color w:val="000000" w:themeColor="text1"/>
          <w:lang w:eastAsia="es-CL"/>
        </w:rPr>
        <w:t>s</w:t>
      </w:r>
      <w:r w:rsidR="00311EBE" w:rsidRPr="006E0B95">
        <w:rPr>
          <w:rFonts w:eastAsia="Times New Roman"/>
          <w:color w:val="000000" w:themeColor="text1"/>
          <w:lang w:eastAsia="es-CL"/>
        </w:rPr>
        <w:t xml:space="preserve"> en el primer pago</w:t>
      </w:r>
      <w:r w:rsidR="00511F76" w:rsidRPr="006E0B95">
        <w:rPr>
          <w:rFonts w:eastAsia="Times New Roman"/>
          <w:color w:val="000000" w:themeColor="text1"/>
          <w:lang w:eastAsia="es-CL"/>
        </w:rPr>
        <w:t xml:space="preserve"> de mayo de 2020</w:t>
      </w:r>
      <w:r w:rsidR="00311EBE" w:rsidRPr="006E0B95">
        <w:rPr>
          <w:rFonts w:eastAsia="Times New Roman"/>
          <w:color w:val="000000" w:themeColor="text1"/>
          <w:lang w:eastAsia="es-CL"/>
        </w:rPr>
        <w:t>.</w:t>
      </w:r>
      <w:r w:rsidR="00311EBE" w:rsidRPr="6CB2CDE6">
        <w:rPr>
          <w:rFonts w:eastAsia="Times New Roman"/>
          <w:color w:val="000000" w:themeColor="text1"/>
          <w:lang w:eastAsia="es-CL"/>
        </w:rPr>
        <w:t xml:space="preserve"> </w:t>
      </w:r>
    </w:p>
    <w:p w14:paraId="6914FB2B" w14:textId="4C49A33B" w:rsidR="000F19D0" w:rsidRPr="009E502F" w:rsidRDefault="00217BBA" w:rsidP="0016387A">
      <w:pPr>
        <w:jc w:val="both"/>
        <w:rPr>
          <w:rFonts w:eastAsia="Times New Roman"/>
          <w:color w:val="000000" w:themeColor="text1"/>
          <w:lang w:eastAsia="es-CL"/>
        </w:rPr>
      </w:pPr>
      <w:r w:rsidRPr="009E502F">
        <w:rPr>
          <w:rFonts w:eastAsia="Times New Roman"/>
          <w:color w:val="000000" w:themeColor="text1"/>
          <w:lang w:eastAsia="es-CL"/>
        </w:rPr>
        <w:t xml:space="preserve">Cabe destacar que </w:t>
      </w:r>
      <w:r w:rsidR="00CD76F7" w:rsidRPr="009E502F">
        <w:rPr>
          <w:rFonts w:eastAsia="Times New Roman"/>
          <w:color w:val="000000" w:themeColor="text1"/>
          <w:lang w:eastAsia="es-CL"/>
        </w:rPr>
        <w:t xml:space="preserve">a partir de junio </w:t>
      </w:r>
      <w:r w:rsidR="003A1C2B" w:rsidRPr="009E502F">
        <w:rPr>
          <w:rFonts w:eastAsia="Times New Roman"/>
          <w:color w:val="000000" w:themeColor="text1"/>
          <w:lang w:eastAsia="es-CL"/>
        </w:rPr>
        <w:t xml:space="preserve">de 2021 </w:t>
      </w:r>
      <w:r w:rsidR="00CD76F7" w:rsidRPr="009E502F">
        <w:rPr>
          <w:rFonts w:eastAsia="Times New Roman"/>
          <w:color w:val="000000" w:themeColor="text1"/>
          <w:lang w:eastAsia="es-CL"/>
        </w:rPr>
        <w:t xml:space="preserve">se empezó a entregar </w:t>
      </w:r>
      <w:r w:rsidRPr="009E502F">
        <w:rPr>
          <w:rFonts w:eastAsia="Times New Roman"/>
          <w:color w:val="000000" w:themeColor="text1"/>
          <w:lang w:eastAsia="es-CL"/>
        </w:rPr>
        <w:t>el</w:t>
      </w:r>
      <w:r w:rsidR="00A92D17" w:rsidRPr="009E502F">
        <w:rPr>
          <w:rFonts w:eastAsia="Times New Roman"/>
          <w:color w:val="000000" w:themeColor="text1"/>
          <w:lang w:eastAsia="es-CL"/>
        </w:rPr>
        <w:t xml:space="preserve"> </w:t>
      </w:r>
      <w:r w:rsidR="00A92D17" w:rsidRPr="00C01BE8">
        <w:rPr>
          <w:rFonts w:eastAsia="Times New Roman"/>
          <w:b/>
          <w:bCs/>
          <w:color w:val="000000" w:themeColor="text1"/>
          <w:lang w:eastAsia="es-CL"/>
        </w:rPr>
        <w:t>IFE Universal</w:t>
      </w:r>
      <w:r w:rsidR="00A92D17" w:rsidRPr="009E502F">
        <w:rPr>
          <w:rFonts w:eastAsia="Times New Roman"/>
          <w:color w:val="000000" w:themeColor="text1"/>
          <w:lang w:eastAsia="es-CL"/>
        </w:rPr>
        <w:t xml:space="preserve"> que extend</w:t>
      </w:r>
      <w:r w:rsidR="003A1C2B" w:rsidRPr="009E502F">
        <w:rPr>
          <w:rFonts w:eastAsia="Times New Roman"/>
          <w:color w:val="000000" w:themeColor="text1"/>
          <w:lang w:eastAsia="es-CL"/>
        </w:rPr>
        <w:t>ió</w:t>
      </w:r>
      <w:r w:rsidR="00A92D17" w:rsidRPr="009E502F">
        <w:rPr>
          <w:rFonts w:eastAsia="Times New Roman"/>
          <w:color w:val="000000" w:themeColor="text1"/>
          <w:lang w:eastAsia="es-CL"/>
        </w:rPr>
        <w:t xml:space="preserve"> la cobertura del IFE al 100% de quienes integran el Registro Social de Hogares</w:t>
      </w:r>
      <w:r w:rsidR="007D683C" w:rsidRPr="009E502F">
        <w:rPr>
          <w:rFonts w:eastAsia="Times New Roman"/>
          <w:color w:val="000000" w:themeColor="text1"/>
          <w:lang w:eastAsia="es-CL"/>
        </w:rPr>
        <w:t>, a excepción de aquellos en el tramo 91-100% CSE con ingresos mayores a $800.000 per cápita</w:t>
      </w:r>
      <w:r w:rsidR="00A92D17" w:rsidRPr="009E502F">
        <w:rPr>
          <w:rFonts w:eastAsia="Times New Roman"/>
          <w:color w:val="000000" w:themeColor="text1"/>
          <w:lang w:eastAsia="es-CL"/>
        </w:rPr>
        <w:t>, además de increment</w:t>
      </w:r>
      <w:r w:rsidR="007D683C" w:rsidRPr="009E502F">
        <w:rPr>
          <w:rFonts w:eastAsia="Times New Roman"/>
          <w:color w:val="000000" w:themeColor="text1"/>
          <w:lang w:eastAsia="es-CL"/>
        </w:rPr>
        <w:t>ar</w:t>
      </w:r>
      <w:r w:rsidR="00A92D17" w:rsidRPr="009E502F">
        <w:rPr>
          <w:rFonts w:eastAsia="Times New Roman"/>
          <w:color w:val="000000" w:themeColor="text1"/>
          <w:lang w:eastAsia="es-CL"/>
        </w:rPr>
        <w:t xml:space="preserve"> los montos entregados que permitan alcanzar la línea de pobreza vigente</w:t>
      </w:r>
      <w:r w:rsidR="0066573A">
        <w:rPr>
          <w:rFonts w:eastAsia="Times New Roman"/>
          <w:color w:val="000000" w:themeColor="text1"/>
          <w:lang w:eastAsia="es-CL"/>
        </w:rPr>
        <w:t xml:space="preserve"> al mes de abril de 2021</w:t>
      </w:r>
      <w:r w:rsidR="007D683C" w:rsidRPr="009E502F">
        <w:t>.</w:t>
      </w:r>
      <w:r w:rsidR="00036820" w:rsidRPr="009E502F">
        <w:rPr>
          <w:rFonts w:eastAsia="Times New Roman"/>
          <w:color w:val="000000" w:themeColor="text1"/>
          <w:lang w:eastAsia="es-CL"/>
        </w:rPr>
        <w:t xml:space="preserve"> </w:t>
      </w:r>
    </w:p>
    <w:p w14:paraId="44AE3F62" w14:textId="7AA245DC" w:rsidR="008D35B1" w:rsidRPr="008D35B1" w:rsidRDefault="00E71C64" w:rsidP="008D35B1">
      <w:pPr>
        <w:spacing w:before="240" w:after="240" w:line="240" w:lineRule="auto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3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.- </w:t>
      </w:r>
      <w:r w:rsidR="008D35B1" w:rsidRPr="008D35B1">
        <w:rPr>
          <w:rFonts w:eastAsia="Times New Roman" w:cstheme="minorHAnsi"/>
          <w:b/>
          <w:bCs/>
          <w:color w:val="000000"/>
          <w:lang w:eastAsia="es-CL"/>
        </w:rPr>
        <w:t xml:space="preserve">El IFE ha experimentado </w:t>
      </w:r>
      <w:r w:rsidR="00D564BE">
        <w:rPr>
          <w:rFonts w:eastAsia="Times New Roman" w:cstheme="minorHAnsi"/>
          <w:b/>
          <w:bCs/>
          <w:color w:val="000000"/>
          <w:lang w:eastAsia="es-CL"/>
        </w:rPr>
        <w:t>constantes</w:t>
      </w:r>
      <w:r w:rsidR="00D564BE" w:rsidRPr="008D35B1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="008D35B1" w:rsidRPr="008D35B1">
        <w:rPr>
          <w:rFonts w:eastAsia="Times New Roman" w:cstheme="minorHAnsi"/>
          <w:b/>
          <w:bCs/>
          <w:color w:val="000000"/>
          <w:lang w:eastAsia="es-CL"/>
        </w:rPr>
        <w:t xml:space="preserve">mejoras, que principalmente han buscado la simplificación </w:t>
      </w:r>
      <w:r w:rsidR="00D564BE">
        <w:rPr>
          <w:rFonts w:eastAsia="Times New Roman" w:cstheme="minorHAnsi"/>
          <w:b/>
          <w:bCs/>
          <w:color w:val="000000"/>
          <w:lang w:eastAsia="es-CL"/>
        </w:rPr>
        <w:t xml:space="preserve">del beneficio de cara a la ciudadanía </w:t>
      </w:r>
      <w:r w:rsidR="008D35B1" w:rsidRPr="008D35B1">
        <w:rPr>
          <w:rFonts w:eastAsia="Times New Roman" w:cstheme="minorHAnsi"/>
          <w:b/>
          <w:bCs/>
          <w:color w:val="000000"/>
          <w:lang w:eastAsia="es-CL"/>
        </w:rPr>
        <w:t xml:space="preserve">y </w:t>
      </w:r>
      <w:r w:rsidR="00D564BE">
        <w:rPr>
          <w:rFonts w:eastAsia="Times New Roman" w:cstheme="minorHAnsi"/>
          <w:b/>
          <w:bCs/>
          <w:color w:val="000000"/>
          <w:lang w:eastAsia="es-CL"/>
        </w:rPr>
        <w:t xml:space="preserve">maximizar su </w:t>
      </w:r>
      <w:r w:rsidR="008D35B1" w:rsidRPr="008D35B1">
        <w:rPr>
          <w:rFonts w:eastAsia="Times New Roman" w:cstheme="minorHAnsi"/>
          <w:b/>
          <w:bCs/>
          <w:color w:val="000000"/>
          <w:lang w:eastAsia="es-CL"/>
        </w:rPr>
        <w:t>automatización.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 Con el avance de la pandemia sin duda </w:t>
      </w:r>
      <w:r w:rsidR="00D564BE">
        <w:rPr>
          <w:rFonts w:eastAsia="Times New Roman" w:cstheme="minorHAnsi"/>
          <w:color w:val="000000"/>
          <w:lang w:eastAsia="es-CL"/>
        </w:rPr>
        <w:t xml:space="preserve">se ha buscado </w:t>
      </w:r>
      <w:r w:rsidR="008D35B1" w:rsidRPr="008D35B1">
        <w:rPr>
          <w:rFonts w:eastAsia="Times New Roman" w:cstheme="minorHAnsi"/>
          <w:color w:val="000000"/>
          <w:lang w:eastAsia="es-CL"/>
        </w:rPr>
        <w:t>llegar con la mayor rapidez y oportunidad a las familias. Es por esto que hemos simplificado los procesos y eliminado gran parte de las barreras para que quienes requieran de ayuda desde el Estado puedan acceder a estos apoyos.</w:t>
      </w:r>
    </w:p>
    <w:p w14:paraId="2F5E59D6" w14:textId="77777777" w:rsidR="00B93085" w:rsidRDefault="00D564BE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b/>
          <w:color w:val="000000"/>
          <w:lang w:eastAsia="es-CL"/>
        </w:rPr>
        <w:lastRenderedPageBreak/>
        <w:t xml:space="preserve">En concreto, </w:t>
      </w:r>
      <w:r w:rsidR="003B64AA">
        <w:rPr>
          <w:rFonts w:eastAsia="Times New Roman" w:cstheme="minorHAnsi"/>
          <w:b/>
          <w:color w:val="000000"/>
          <w:lang w:eastAsia="es-CL"/>
        </w:rPr>
        <w:t xml:space="preserve">y considerando el empeoramiento de la realidad sanitaria evidenciada ocurrido a partir de marzo del presente año, </w:t>
      </w:r>
      <w:r>
        <w:rPr>
          <w:rFonts w:eastAsia="Times New Roman" w:cstheme="minorHAnsi"/>
          <w:b/>
          <w:color w:val="000000"/>
          <w:lang w:eastAsia="es-CL"/>
        </w:rPr>
        <w:t>e</w:t>
      </w:r>
      <w:r w:rsidRPr="008D35B1">
        <w:rPr>
          <w:rFonts w:eastAsia="Times New Roman" w:cstheme="minorHAnsi"/>
          <w:b/>
          <w:color w:val="000000"/>
          <w:lang w:eastAsia="es-CL"/>
        </w:rPr>
        <w:t xml:space="preserve">l 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 xml:space="preserve">aporte del IFE </w:t>
      </w:r>
      <w:r w:rsidR="00A54319">
        <w:rPr>
          <w:rFonts w:eastAsia="Times New Roman" w:cstheme="minorHAnsi"/>
          <w:b/>
          <w:color w:val="000000"/>
          <w:lang w:eastAsia="es-CL"/>
        </w:rPr>
        <w:t xml:space="preserve">Universal </w:t>
      </w:r>
      <w:r w:rsidR="002F005C">
        <w:rPr>
          <w:rFonts w:eastAsia="Times New Roman" w:cstheme="minorHAnsi"/>
          <w:b/>
          <w:color w:val="000000"/>
          <w:lang w:eastAsia="es-CL"/>
        </w:rPr>
        <w:t xml:space="preserve">de 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>2021 incorpora todo este camino recorrido</w:t>
      </w:r>
      <w:r w:rsidR="008D35B1" w:rsidRPr="008D35B1">
        <w:rPr>
          <w:rFonts w:eastAsia="Times New Roman" w:cstheme="minorHAnsi"/>
          <w:color w:val="000000"/>
          <w:lang w:eastAsia="es-CL"/>
        </w:rPr>
        <w:t>, en donde parte de las mejoras e importantes avances han surgido del trabajo realizado en la tramitación legislativa y recogiendo la experiencia en cada uno de los pagos cursados. </w:t>
      </w:r>
    </w:p>
    <w:p w14:paraId="1ED7E4EE" w14:textId="67A13AEC" w:rsidR="008D35B1" w:rsidRDefault="00B93085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Con el IFE Universal</w:t>
      </w:r>
      <w:r w:rsidR="003B64AA">
        <w:rPr>
          <w:rFonts w:eastAsia="Times New Roman" w:cstheme="minorHAnsi"/>
          <w:color w:val="000000"/>
          <w:lang w:eastAsia="es-CL"/>
        </w:rPr>
        <w:t xml:space="preserve"> </w:t>
      </w:r>
      <w:r w:rsidR="003B64AA">
        <w:rPr>
          <w:rFonts w:eastAsia="Times New Roman" w:cstheme="minorHAnsi"/>
          <w:b/>
          <w:color w:val="000000"/>
          <w:lang w:eastAsia="es-CL"/>
        </w:rPr>
        <w:t>s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 xml:space="preserve">e amplió de manera importante el número de beneficiarios </w:t>
      </w:r>
      <w:r w:rsidR="00D564BE">
        <w:rPr>
          <w:rFonts w:eastAsia="Times New Roman" w:cstheme="minorHAnsi"/>
          <w:b/>
          <w:color w:val="000000"/>
          <w:lang w:eastAsia="es-CL"/>
        </w:rPr>
        <w:t>que recib</w:t>
      </w:r>
      <w:r>
        <w:rPr>
          <w:rFonts w:eastAsia="Times New Roman" w:cstheme="minorHAnsi"/>
          <w:b/>
          <w:color w:val="000000"/>
          <w:lang w:eastAsia="es-CL"/>
        </w:rPr>
        <w:t>e</w:t>
      </w:r>
      <w:r w:rsidR="00D564BE">
        <w:rPr>
          <w:rFonts w:eastAsia="Times New Roman" w:cstheme="minorHAnsi"/>
          <w:b/>
          <w:color w:val="000000"/>
          <w:lang w:eastAsia="es-CL"/>
        </w:rPr>
        <w:t xml:space="preserve"> el </w:t>
      </w:r>
      <w:r w:rsidR="00383593">
        <w:rPr>
          <w:rFonts w:eastAsia="Times New Roman" w:cstheme="minorHAnsi"/>
          <w:b/>
          <w:color w:val="000000"/>
          <w:lang w:eastAsia="es-CL"/>
        </w:rPr>
        <w:t>IFE</w:t>
      </w:r>
      <w:r w:rsidR="00D564BE">
        <w:rPr>
          <w:rFonts w:eastAsia="Times New Roman" w:cstheme="minorHAnsi"/>
          <w:b/>
          <w:color w:val="000000"/>
          <w:lang w:eastAsia="es-CL"/>
        </w:rPr>
        <w:t xml:space="preserve">, </w:t>
      </w:r>
      <w:r w:rsidR="003B64AA">
        <w:rPr>
          <w:rFonts w:eastAsia="Times New Roman" w:cstheme="minorHAnsi"/>
          <w:b/>
          <w:color w:val="000000"/>
          <w:lang w:eastAsia="es-CL"/>
        </w:rPr>
        <w:t xml:space="preserve">lo cual se logró implementar de manera expedita en </w:t>
      </w:r>
      <w:r w:rsidR="00D564BE">
        <w:rPr>
          <w:rFonts w:eastAsia="Times New Roman" w:cstheme="minorHAnsi"/>
          <w:b/>
          <w:color w:val="000000"/>
          <w:lang w:eastAsia="es-CL"/>
        </w:rPr>
        <w:t xml:space="preserve">gran medida </w:t>
      </w:r>
      <w:r w:rsidR="003B64AA">
        <w:rPr>
          <w:rFonts w:eastAsia="Times New Roman" w:cstheme="minorHAnsi"/>
          <w:b/>
          <w:color w:val="000000"/>
          <w:lang w:eastAsia="es-CL"/>
        </w:rPr>
        <w:t xml:space="preserve">gracias a </w:t>
      </w:r>
      <w:r w:rsidR="00D564BE">
        <w:rPr>
          <w:rFonts w:eastAsia="Times New Roman" w:cstheme="minorHAnsi"/>
          <w:b/>
          <w:color w:val="000000"/>
          <w:lang w:eastAsia="es-CL"/>
        </w:rPr>
        <w:t xml:space="preserve">la 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>automatización de</w:t>
      </w:r>
      <w:r w:rsidR="00D564BE">
        <w:rPr>
          <w:rFonts w:eastAsia="Times New Roman" w:cstheme="minorHAnsi"/>
          <w:b/>
          <w:color w:val="000000"/>
          <w:lang w:eastAsia="es-CL"/>
        </w:rPr>
        <w:t>l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 xml:space="preserve"> pago</w:t>
      </w:r>
      <w:r>
        <w:rPr>
          <w:rFonts w:eastAsia="Times New Roman" w:cstheme="minorHAnsi"/>
          <w:b/>
          <w:color w:val="000000"/>
          <w:lang w:eastAsia="es-CL"/>
        </w:rPr>
        <w:t>, que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color w:val="000000"/>
          <w:lang w:eastAsia="es-CL"/>
        </w:rPr>
        <w:t>en el mes de noviembre</w:t>
      </w:r>
      <w:r w:rsidRPr="002F005C">
        <w:rPr>
          <w:rFonts w:eastAsia="Times New Roman" w:cstheme="minorHAnsi"/>
          <w:b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color w:val="000000"/>
          <w:lang w:eastAsia="es-CL"/>
        </w:rPr>
        <w:t>consideró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 xml:space="preserve"> </w:t>
      </w:r>
      <w:r w:rsidR="000716F8">
        <w:rPr>
          <w:rFonts w:eastAsia="Times New Roman" w:cstheme="minorHAnsi"/>
          <w:b/>
          <w:color w:val="000000"/>
          <w:lang w:eastAsia="es-CL"/>
        </w:rPr>
        <w:t>más de</w:t>
      </w:r>
      <w:r w:rsidR="00176E66">
        <w:rPr>
          <w:rFonts w:eastAsia="Times New Roman" w:cstheme="minorHAnsi"/>
          <w:b/>
          <w:color w:val="000000"/>
          <w:lang w:eastAsia="es-CL"/>
        </w:rPr>
        <w:t xml:space="preserve"> </w:t>
      </w:r>
      <w:r w:rsidR="00A509EE" w:rsidRPr="002F005C">
        <w:rPr>
          <w:rFonts w:eastAsia="Times New Roman" w:cstheme="minorHAnsi"/>
          <w:b/>
          <w:color w:val="000000"/>
          <w:lang w:eastAsia="es-CL"/>
        </w:rPr>
        <w:t>8</w:t>
      </w:r>
      <w:r w:rsidR="000920C4">
        <w:rPr>
          <w:rFonts w:eastAsia="Times New Roman" w:cstheme="minorHAnsi"/>
          <w:b/>
          <w:color w:val="000000"/>
          <w:lang w:eastAsia="es-CL"/>
        </w:rPr>
        <w:t>,3</w:t>
      </w:r>
      <w:r w:rsidR="008D35B1" w:rsidRPr="002F005C">
        <w:rPr>
          <w:rFonts w:eastAsia="Times New Roman" w:cstheme="minorHAnsi"/>
          <w:b/>
          <w:color w:val="000000"/>
          <w:lang w:eastAsia="es-CL"/>
        </w:rPr>
        <w:t xml:space="preserve"> millones de hogares</w:t>
      </w:r>
      <w:r w:rsidR="002F005C">
        <w:rPr>
          <w:rFonts w:eastAsia="Times New Roman" w:cstheme="minorHAnsi"/>
          <w:b/>
          <w:color w:val="000000"/>
          <w:lang w:eastAsia="es-CL"/>
        </w:rPr>
        <w:t xml:space="preserve"> </w:t>
      </w:r>
      <w:r w:rsidR="001A7762" w:rsidRPr="002F005C">
        <w:rPr>
          <w:rFonts w:eastAsia="Times New Roman" w:cstheme="minorHAnsi"/>
          <w:b/>
          <w:color w:val="000000"/>
          <w:lang w:eastAsia="es-CL"/>
        </w:rPr>
        <w:t>(</w:t>
      </w:r>
      <w:r w:rsidR="00750002">
        <w:rPr>
          <w:rFonts w:eastAsia="Times New Roman" w:cstheme="minorHAnsi"/>
          <w:b/>
          <w:color w:val="000000"/>
          <w:lang w:eastAsia="es-CL"/>
        </w:rPr>
        <w:t>99,5</w:t>
      </w:r>
      <w:r w:rsidR="00EA428C" w:rsidRPr="002F005C">
        <w:rPr>
          <w:rFonts w:eastAsia="Times New Roman" w:cstheme="minorHAnsi"/>
          <w:b/>
          <w:color w:val="000000"/>
          <w:lang w:eastAsia="es-CL"/>
        </w:rPr>
        <w:t xml:space="preserve"> </w:t>
      </w:r>
      <w:r w:rsidR="001A7762" w:rsidRPr="002F005C">
        <w:rPr>
          <w:rFonts w:eastAsia="Times New Roman" w:cstheme="minorHAnsi"/>
          <w:b/>
          <w:color w:val="000000"/>
          <w:lang w:eastAsia="es-CL"/>
        </w:rPr>
        <w:t>% del total de beneficiarios)</w:t>
      </w:r>
      <w:r w:rsidR="008D35B1" w:rsidRPr="002F005C">
        <w:rPr>
          <w:rFonts w:eastAsia="Times New Roman" w:cstheme="minorHAnsi"/>
          <w:color w:val="000000"/>
          <w:lang w:eastAsia="es-CL"/>
        </w:rPr>
        <w:t>,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 quienes </w:t>
      </w:r>
      <w:r w:rsidR="00750002">
        <w:rPr>
          <w:rFonts w:eastAsia="Times New Roman" w:cstheme="minorHAnsi"/>
          <w:color w:val="000000"/>
          <w:lang w:eastAsia="es-CL"/>
        </w:rPr>
        <w:t>recibieron</w:t>
      </w:r>
      <w:r w:rsidR="00750002" w:rsidRPr="008D35B1">
        <w:rPr>
          <w:rFonts w:eastAsia="Times New Roman" w:cstheme="minorHAnsi"/>
          <w:color w:val="000000"/>
          <w:lang w:eastAsia="es-CL"/>
        </w:rPr>
        <w:t xml:space="preserve"> </w:t>
      </w:r>
      <w:r w:rsidR="008D35B1" w:rsidRPr="008D35B1">
        <w:rPr>
          <w:rFonts w:eastAsia="Times New Roman" w:cstheme="minorHAnsi"/>
          <w:color w:val="000000"/>
          <w:lang w:eastAsia="es-CL"/>
        </w:rPr>
        <w:t>este aporte sin la necesidad de realizar ningún tipo de trámite o solicitud. Esta es la situación de los hogares que cuenten con un causante del Subsidio Único Familiar (SUF)</w:t>
      </w:r>
      <w:r w:rsidR="00A54319">
        <w:rPr>
          <w:rFonts w:eastAsia="Times New Roman" w:cstheme="minorHAnsi"/>
          <w:color w:val="000000"/>
          <w:lang w:eastAsia="es-CL"/>
        </w:rPr>
        <w:t xml:space="preserve">, </w:t>
      </w:r>
      <w:r w:rsidR="008D35B1" w:rsidRPr="008D35B1">
        <w:rPr>
          <w:rFonts w:eastAsia="Times New Roman" w:cstheme="minorHAnsi"/>
          <w:color w:val="000000"/>
          <w:lang w:eastAsia="es-CL"/>
        </w:rPr>
        <w:t>usuarios de Seguridades y Oportunidades</w:t>
      </w:r>
      <w:r w:rsidR="00A54319">
        <w:rPr>
          <w:rFonts w:eastAsia="Times New Roman" w:cstheme="minorHAnsi"/>
          <w:color w:val="000000"/>
          <w:lang w:eastAsia="es-CL"/>
        </w:rPr>
        <w:t>, beneficiarios del</w:t>
      </w:r>
      <w:r w:rsidR="00867217">
        <w:rPr>
          <w:rFonts w:eastAsia="Times New Roman" w:cstheme="minorHAnsi"/>
          <w:color w:val="000000"/>
          <w:lang w:eastAsia="es-CL"/>
        </w:rPr>
        <w:t xml:space="preserve"> Subsidio para alcanzar el</w:t>
      </w:r>
      <w:r w:rsidR="00A54319">
        <w:rPr>
          <w:rFonts w:eastAsia="Times New Roman" w:cstheme="minorHAnsi"/>
          <w:color w:val="000000"/>
          <w:lang w:eastAsia="es-CL"/>
        </w:rPr>
        <w:t xml:space="preserve"> Ingreso Mínimo Garantizado, Asignación Familiar y Maternal, Pensión Básica Solidaria, Aporte Previsional Solidario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 y, asimismo, a los </w:t>
      </w:r>
      <w:r w:rsidR="00E92513">
        <w:rPr>
          <w:rFonts w:eastAsia="Times New Roman" w:cstheme="minorHAnsi"/>
          <w:color w:val="000000"/>
          <w:lang w:eastAsia="es-CL"/>
        </w:rPr>
        <w:t xml:space="preserve">hogares </w:t>
      </w:r>
      <w:r w:rsidR="00E92513" w:rsidRPr="00D91C03">
        <w:rPr>
          <w:rFonts w:eastAsia="Times New Roman" w:cstheme="minorHAnsi"/>
          <w:color w:val="000000"/>
          <w:lang w:eastAsia="es-CL"/>
        </w:rPr>
        <w:t>que tienen al menos un integrante que haya re</w:t>
      </w:r>
      <w:r w:rsidR="008D35B1" w:rsidRPr="00D91C03">
        <w:rPr>
          <w:rFonts w:eastAsia="Times New Roman" w:cstheme="minorHAnsi"/>
          <w:color w:val="000000"/>
          <w:lang w:eastAsia="es-CL"/>
        </w:rPr>
        <w:t>cibi</w:t>
      </w:r>
      <w:r w:rsidR="00E92513" w:rsidRPr="00D91C03">
        <w:rPr>
          <w:rFonts w:eastAsia="Times New Roman" w:cstheme="minorHAnsi"/>
          <w:color w:val="000000"/>
          <w:lang w:eastAsia="es-CL"/>
        </w:rPr>
        <w:t>do</w:t>
      </w:r>
      <w:r w:rsidR="008D35B1" w:rsidRPr="00D91C03">
        <w:rPr>
          <w:rFonts w:eastAsia="Times New Roman" w:cstheme="minorHAnsi"/>
          <w:color w:val="000000"/>
          <w:lang w:eastAsia="es-CL"/>
        </w:rPr>
        <w:t xml:space="preserve"> el sexto pago del IFE</w:t>
      </w:r>
      <w:r w:rsidR="001A7762">
        <w:rPr>
          <w:rFonts w:eastAsia="Times New Roman" w:cstheme="minorHAnsi"/>
          <w:color w:val="000000"/>
          <w:lang w:eastAsia="es-CL"/>
        </w:rPr>
        <w:t xml:space="preserve"> 2020</w:t>
      </w:r>
      <w:r w:rsidR="00113491" w:rsidRPr="00D91C03">
        <w:rPr>
          <w:rFonts w:eastAsia="Times New Roman" w:cstheme="minorHAnsi"/>
          <w:color w:val="000000"/>
          <w:lang w:eastAsia="es-CL"/>
        </w:rPr>
        <w:t xml:space="preserve"> </w:t>
      </w:r>
      <w:r w:rsidR="001747F1" w:rsidRPr="00D91C03">
        <w:rPr>
          <w:rFonts w:eastAsia="Times New Roman" w:cstheme="minorHAnsi"/>
          <w:color w:val="000000"/>
          <w:lang w:eastAsia="es-CL"/>
        </w:rPr>
        <w:t>o</w:t>
      </w:r>
      <w:r w:rsidR="00A54319">
        <w:rPr>
          <w:rFonts w:eastAsia="Times New Roman" w:cstheme="minorHAnsi"/>
          <w:color w:val="000000"/>
          <w:lang w:eastAsia="es-CL"/>
        </w:rPr>
        <w:t xml:space="preserve"> que hayan sido beneficiarios en los pagos de IFE de abril </w:t>
      </w:r>
      <w:r w:rsidR="00113491" w:rsidRPr="00D91C03">
        <w:rPr>
          <w:rFonts w:eastAsia="Times New Roman" w:cstheme="minorHAnsi"/>
          <w:color w:val="000000"/>
          <w:lang w:eastAsia="es-CL"/>
        </w:rPr>
        <w:t>2021</w:t>
      </w:r>
      <w:r w:rsidR="00A54319">
        <w:rPr>
          <w:rFonts w:eastAsia="Times New Roman" w:cstheme="minorHAnsi"/>
          <w:color w:val="000000"/>
          <w:lang w:eastAsia="es-CL"/>
        </w:rPr>
        <w:t xml:space="preserve"> en adelante</w:t>
      </w:r>
      <w:r w:rsidR="00113491" w:rsidRPr="00D91C03">
        <w:rPr>
          <w:rFonts w:eastAsia="Times New Roman" w:cstheme="minorHAnsi"/>
          <w:color w:val="000000"/>
          <w:lang w:eastAsia="es-CL"/>
        </w:rPr>
        <w:t>.</w:t>
      </w:r>
    </w:p>
    <w:p w14:paraId="0AF37261" w14:textId="44387481" w:rsidR="00EF4156" w:rsidRDefault="00EF4156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En </w:t>
      </w:r>
      <w:r w:rsidRPr="00CB4471">
        <w:rPr>
          <w:rFonts w:eastAsia="Times New Roman" w:cstheme="minorHAnsi"/>
          <w:color w:val="000000"/>
          <w:lang w:eastAsia="es-CL"/>
        </w:rPr>
        <w:t>suma</w:t>
      </w:r>
      <w:r w:rsidRPr="007C3A73">
        <w:rPr>
          <w:rFonts w:eastAsia="Times New Roman" w:cstheme="minorHAnsi"/>
          <w:color w:val="000000"/>
          <w:lang w:eastAsia="es-CL"/>
        </w:rPr>
        <w:t xml:space="preserve">, </w:t>
      </w:r>
      <w:r w:rsidR="00F562E1">
        <w:rPr>
          <w:rFonts w:eastAsia="Times New Roman" w:cstheme="minorHAnsi"/>
          <w:color w:val="000000"/>
          <w:lang w:eastAsia="es-CL"/>
        </w:rPr>
        <w:t>96,5</w:t>
      </w:r>
      <w:r w:rsidRPr="007C3A73">
        <w:rPr>
          <w:rFonts w:eastAsia="Times New Roman" w:cstheme="minorHAnsi"/>
          <w:color w:val="000000"/>
          <w:lang w:eastAsia="es-CL"/>
        </w:rPr>
        <w:t>%</w:t>
      </w:r>
      <w:r w:rsidRPr="00CB4471">
        <w:rPr>
          <w:rFonts w:eastAsia="Times New Roman" w:cstheme="minorHAnsi"/>
          <w:color w:val="000000"/>
          <w:lang w:eastAsia="es-CL"/>
        </w:rPr>
        <w:t xml:space="preserve"> de quienes integran el RSH hoy reciben IFE, porcentaje que llega a 9</w:t>
      </w:r>
      <w:r w:rsidR="00D01751" w:rsidRPr="00E56637">
        <w:rPr>
          <w:rFonts w:eastAsia="Times New Roman" w:cstheme="minorHAnsi"/>
          <w:color w:val="000000"/>
          <w:lang w:eastAsia="es-CL"/>
        </w:rPr>
        <w:t>9</w:t>
      </w:r>
      <w:r w:rsidRPr="00CB4471">
        <w:rPr>
          <w:rFonts w:eastAsia="Times New Roman" w:cstheme="minorHAnsi"/>
          <w:color w:val="000000"/>
          <w:lang w:eastAsia="es-CL"/>
        </w:rPr>
        <w:t>,</w:t>
      </w:r>
      <w:r w:rsidR="00490115">
        <w:rPr>
          <w:rFonts w:eastAsia="Times New Roman" w:cstheme="minorHAnsi"/>
          <w:color w:val="000000"/>
          <w:lang w:eastAsia="es-CL"/>
        </w:rPr>
        <w:t>1</w:t>
      </w:r>
      <w:r w:rsidR="00D01751" w:rsidRPr="00E56637">
        <w:rPr>
          <w:rFonts w:eastAsia="Times New Roman" w:cstheme="minorHAnsi"/>
          <w:color w:val="000000"/>
          <w:lang w:eastAsia="es-CL"/>
        </w:rPr>
        <w:t xml:space="preserve"> </w:t>
      </w:r>
      <w:r w:rsidRPr="00CB4471">
        <w:rPr>
          <w:rFonts w:eastAsia="Times New Roman" w:cstheme="minorHAnsi"/>
          <w:color w:val="000000"/>
          <w:lang w:eastAsia="es-CL"/>
        </w:rPr>
        <w:t>% en el caso del tramo de mayor vulnerabilidad socioeconómica.</w:t>
      </w:r>
      <w:r>
        <w:rPr>
          <w:rFonts w:eastAsia="Times New Roman" w:cstheme="minorHAnsi"/>
          <w:color w:val="000000"/>
          <w:lang w:eastAsia="es-CL"/>
        </w:rPr>
        <w:t xml:space="preserve"> </w:t>
      </w:r>
    </w:p>
    <w:p w14:paraId="246FA3CC" w14:textId="65DF1FFC" w:rsidR="00662CE3" w:rsidRDefault="00662CE3" w:rsidP="00C938AA">
      <w:pPr>
        <w:spacing w:before="240" w:after="240" w:line="240" w:lineRule="auto"/>
        <w:jc w:val="center"/>
        <w:rPr>
          <w:rFonts w:eastAsia="Times New Roman" w:cstheme="minorHAnsi"/>
          <w:b/>
          <w:bCs/>
          <w:color w:val="000000"/>
          <w:lang w:eastAsia="es-CL"/>
        </w:rPr>
      </w:pPr>
      <w:r w:rsidRPr="00C938AA">
        <w:rPr>
          <w:rFonts w:eastAsia="Times New Roman" w:cstheme="minorHAnsi"/>
          <w:b/>
          <w:bCs/>
          <w:color w:val="000000"/>
          <w:lang w:eastAsia="es-CL"/>
        </w:rPr>
        <w:t xml:space="preserve">Hogares beneficiarios del IFE universal </w:t>
      </w:r>
      <w:r w:rsidR="00355612">
        <w:rPr>
          <w:rFonts w:eastAsia="Times New Roman" w:cstheme="minorHAnsi"/>
          <w:b/>
          <w:bCs/>
          <w:color w:val="000000"/>
          <w:lang w:eastAsia="es-CL"/>
        </w:rPr>
        <w:t>noviembre</w:t>
      </w:r>
      <w:r w:rsidR="00DD18EF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C938AA">
        <w:rPr>
          <w:rFonts w:eastAsia="Times New Roman" w:cstheme="minorHAnsi"/>
          <w:b/>
          <w:bCs/>
          <w:color w:val="000000"/>
          <w:lang w:eastAsia="es-CL"/>
        </w:rPr>
        <w:t>2021 por tramo CSE</w:t>
      </w:r>
    </w:p>
    <w:tbl>
      <w:tblPr>
        <w:tblW w:w="5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762"/>
        <w:gridCol w:w="1762"/>
        <w:gridCol w:w="1134"/>
      </w:tblGrid>
      <w:tr w:rsidR="007C3A73" w:rsidRPr="007C3A73" w14:paraId="19D16857" w14:textId="77777777" w:rsidTr="002C54A1">
        <w:trPr>
          <w:trHeight w:val="780"/>
          <w:jc w:val="center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FFB95B" w14:textId="77777777" w:rsidR="007C3A73" w:rsidRPr="007C3A73" w:rsidRDefault="007C3A73" w:rsidP="007C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Tramo CSE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76B319" w14:textId="1F1A31C3" w:rsidR="007C3A73" w:rsidRPr="007C3A73" w:rsidRDefault="007C3A73" w:rsidP="007C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Hogares beneficiarios </w:t>
            </w:r>
            <w:r w:rsidR="00355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noviembre</w:t>
            </w:r>
            <w:r w:rsidR="00DD18EF"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2021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C19429" w14:textId="5F213C35" w:rsidR="007C3A73" w:rsidRPr="007C3A73" w:rsidRDefault="007C3A73" w:rsidP="007C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Total de hogares RSH </w:t>
            </w:r>
            <w:r w:rsidR="00355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noviembre</w:t>
            </w:r>
            <w:r w:rsidR="00DD18EF"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5DA6B5" w14:textId="77777777" w:rsidR="007C3A73" w:rsidRPr="007C3A73" w:rsidRDefault="007C3A73" w:rsidP="007C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% de hogares del RSH con IFE</w:t>
            </w:r>
          </w:p>
        </w:tc>
      </w:tr>
      <w:tr w:rsidR="00F562E1" w:rsidRPr="007C3A73" w14:paraId="4C8F12D6" w14:textId="77777777" w:rsidTr="002C54A1">
        <w:trPr>
          <w:trHeight w:val="315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C8B61" w14:textId="77777777" w:rsidR="00F562E1" w:rsidRPr="007C3A73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(0-40%)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BBD70" w14:textId="465AB3FB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4.610.890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F4A2E" w14:textId="4401553C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4.653.180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D8E0B" w14:textId="3F8C836B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99,1%</w:t>
            </w:r>
          </w:p>
        </w:tc>
      </w:tr>
      <w:tr w:rsidR="00F562E1" w:rsidRPr="007C3A73" w14:paraId="2F55DFDE" w14:textId="77777777" w:rsidTr="002C54A1">
        <w:trPr>
          <w:trHeight w:val="315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8997" w14:textId="77777777" w:rsidR="00F562E1" w:rsidRPr="007C3A73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(41-50%)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52445" w14:textId="7757B99F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628.046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D50AC" w14:textId="7FE6C610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635.005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C95A6" w14:textId="6A023858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98,9%</w:t>
            </w:r>
          </w:p>
        </w:tc>
      </w:tr>
      <w:tr w:rsidR="00F562E1" w:rsidRPr="007C3A73" w14:paraId="6617795D" w14:textId="77777777" w:rsidTr="002C54A1">
        <w:trPr>
          <w:trHeight w:val="315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03F8" w14:textId="77777777" w:rsidR="00F562E1" w:rsidRPr="007C3A73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(51-60%)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6FD09" w14:textId="5AB88758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586.931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6281A" w14:textId="0DBD2E8F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594.247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1B26" w14:textId="54A39139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98,8%</w:t>
            </w:r>
          </w:p>
        </w:tc>
      </w:tr>
      <w:tr w:rsidR="00F562E1" w:rsidRPr="007C3A73" w14:paraId="7299EADA" w14:textId="77777777" w:rsidTr="002C54A1">
        <w:trPr>
          <w:trHeight w:val="315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D40E" w14:textId="77777777" w:rsidR="00F562E1" w:rsidRPr="007C3A73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(61-70%)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EECD0" w14:textId="6A0645C6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593.559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FA53B" w14:textId="4C0C5786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602.457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28EB8" w14:textId="6414BBBF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98,5%</w:t>
            </w:r>
          </w:p>
        </w:tc>
      </w:tr>
      <w:tr w:rsidR="00F562E1" w:rsidRPr="007C3A73" w14:paraId="62D99882" w14:textId="77777777" w:rsidTr="002C54A1">
        <w:trPr>
          <w:trHeight w:val="315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AE60" w14:textId="77777777" w:rsidR="00F562E1" w:rsidRPr="007C3A73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(71-80%)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5520B" w14:textId="150D5E7B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673.638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9608A" w14:textId="7C03F31B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685.696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96162" w14:textId="641CB5B6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98,2%</w:t>
            </w:r>
          </w:p>
        </w:tc>
      </w:tr>
      <w:tr w:rsidR="00F562E1" w:rsidRPr="007C3A73" w14:paraId="7C3F60FD" w14:textId="77777777" w:rsidTr="002C54A1">
        <w:trPr>
          <w:trHeight w:val="315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C9E00" w14:textId="77777777" w:rsidR="00F562E1" w:rsidRPr="007C3A73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(81-90%)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64515" w14:textId="4F4CB8F2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987.094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523B9" w14:textId="789EB826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1.027.963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85C08" w14:textId="1E172403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96,0%</w:t>
            </w:r>
          </w:p>
        </w:tc>
      </w:tr>
      <w:tr w:rsidR="00F562E1" w:rsidRPr="007C3A73" w14:paraId="6E4878B0" w14:textId="77777777" w:rsidTr="002C54A1">
        <w:trPr>
          <w:trHeight w:val="315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D20F" w14:textId="77777777" w:rsidR="00F562E1" w:rsidRPr="007C3A73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(91-100%)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F3E94" w14:textId="61FB7627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294.560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05EED" w14:textId="4B8BA254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478.562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6758D" w14:textId="2FC89328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61,6%</w:t>
            </w:r>
          </w:p>
        </w:tc>
      </w:tr>
      <w:tr w:rsidR="00F562E1" w:rsidRPr="007C3A73" w14:paraId="4C0E66FE" w14:textId="77777777" w:rsidTr="002C54A1">
        <w:trPr>
          <w:trHeight w:val="315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E94D" w14:textId="77777777" w:rsidR="00F562E1" w:rsidRPr="007C3A73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5286E" w14:textId="27682D26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8.374.718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CEEBD" w14:textId="7E2DF686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8.677.110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F75FE" w14:textId="354A4231" w:rsidR="00F562E1" w:rsidRPr="00F562E1" w:rsidRDefault="00F562E1" w:rsidP="00F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562E1">
              <w:rPr>
                <w:sz w:val="20"/>
                <w:szCs w:val="20"/>
              </w:rPr>
              <w:t>96,5%</w:t>
            </w:r>
          </w:p>
        </w:tc>
      </w:tr>
    </w:tbl>
    <w:p w14:paraId="2F1B9B21" w14:textId="77777777" w:rsidR="00A54319" w:rsidRPr="00374682" w:rsidRDefault="00A54319">
      <w:pPr>
        <w:spacing w:before="160" w:after="0" w:line="240" w:lineRule="auto"/>
        <w:ind w:left="2642" w:right="2659"/>
        <w:contextualSpacing/>
        <w:jc w:val="center"/>
        <w:rPr>
          <w:rFonts w:eastAsia="Times New Roman" w:cstheme="minorHAnsi"/>
          <w:sz w:val="16"/>
          <w:szCs w:val="16"/>
          <w:lang w:eastAsia="es-CL"/>
        </w:rPr>
      </w:pPr>
      <w:r w:rsidRPr="00374682">
        <w:rPr>
          <w:rFonts w:eastAsia="Times New Roman" w:cstheme="minorHAnsi"/>
          <w:color w:val="000000"/>
          <w:sz w:val="16"/>
          <w:szCs w:val="16"/>
          <w:lang w:eastAsia="es-CL"/>
        </w:rPr>
        <w:t>Fuente: Subsecretaría de Evaluación Social – MDSF.</w:t>
      </w:r>
    </w:p>
    <w:p w14:paraId="5B763AA1" w14:textId="68C3F1BB" w:rsidR="008D35B1" w:rsidRDefault="008D35B1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 w:rsidRPr="009B7400">
        <w:rPr>
          <w:rFonts w:eastAsia="Times New Roman" w:cstheme="minorHAnsi"/>
          <w:color w:val="000000"/>
          <w:lang w:eastAsia="es-CL"/>
        </w:rPr>
        <w:t xml:space="preserve">4.- </w:t>
      </w:r>
      <w:r w:rsidRPr="009B7400">
        <w:rPr>
          <w:rFonts w:eastAsia="Times New Roman" w:cstheme="minorHAnsi"/>
          <w:b/>
          <w:bCs/>
          <w:color w:val="000000"/>
          <w:lang w:eastAsia="es-CL"/>
        </w:rPr>
        <w:t xml:space="preserve">En promedio, </w:t>
      </w:r>
      <w:r w:rsidR="00527F89" w:rsidRPr="009B7400">
        <w:rPr>
          <w:rFonts w:eastAsia="Times New Roman" w:cstheme="minorHAnsi"/>
          <w:b/>
          <w:bCs/>
          <w:color w:val="000000"/>
          <w:lang w:eastAsia="es-CL"/>
        </w:rPr>
        <w:t>cada hogar beneficiado por el IFE ha</w:t>
      </w:r>
      <w:r w:rsidRPr="009B7400">
        <w:rPr>
          <w:rFonts w:eastAsia="Times New Roman" w:cstheme="minorHAnsi"/>
          <w:b/>
          <w:bCs/>
          <w:color w:val="000000"/>
          <w:lang w:eastAsia="es-CL"/>
        </w:rPr>
        <w:t xml:space="preserve"> recibido </w:t>
      </w:r>
      <w:r w:rsidR="00D33CAB">
        <w:rPr>
          <w:rFonts w:eastAsia="Times New Roman" w:cstheme="minorHAnsi"/>
          <w:b/>
          <w:bCs/>
          <w:color w:val="000000"/>
          <w:lang w:eastAsia="es-CL"/>
        </w:rPr>
        <w:t xml:space="preserve">más de </w:t>
      </w:r>
      <w:r w:rsidR="00F562E1">
        <w:rPr>
          <w:rFonts w:eastAsia="Times New Roman" w:cstheme="minorHAnsi"/>
          <w:b/>
          <w:bCs/>
          <w:color w:val="000000"/>
          <w:lang w:eastAsia="es-CL"/>
        </w:rPr>
        <w:t>10</w:t>
      </w:r>
      <w:r w:rsidR="00F562E1" w:rsidRPr="009B7400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9B7400">
        <w:rPr>
          <w:rFonts w:eastAsia="Times New Roman" w:cstheme="minorHAnsi"/>
          <w:b/>
          <w:bCs/>
          <w:color w:val="000000"/>
          <w:lang w:eastAsia="es-CL"/>
        </w:rPr>
        <w:t>aportes</w:t>
      </w:r>
      <w:r w:rsidRPr="009B7400">
        <w:rPr>
          <w:rFonts w:eastAsia="Times New Roman" w:cstheme="minorHAnsi"/>
          <w:color w:val="000000"/>
          <w:lang w:eastAsia="es-CL"/>
        </w:rPr>
        <w:t>: de los</w:t>
      </w:r>
      <w:r w:rsidR="008D05AC">
        <w:rPr>
          <w:rFonts w:eastAsia="Times New Roman" w:cstheme="minorHAnsi"/>
          <w:color w:val="000000"/>
          <w:lang w:eastAsia="es-CL"/>
        </w:rPr>
        <w:t xml:space="preserve"> </w:t>
      </w:r>
      <w:r w:rsidR="00B43017">
        <w:rPr>
          <w:rFonts w:eastAsia="Times New Roman" w:cstheme="minorHAnsi"/>
          <w:color w:val="000000"/>
          <w:lang w:eastAsia="es-CL"/>
        </w:rPr>
        <w:t xml:space="preserve">8.375.096 </w:t>
      </w:r>
      <w:r w:rsidRPr="009B7400">
        <w:rPr>
          <w:rFonts w:eastAsia="Times New Roman" w:cstheme="minorHAnsi"/>
          <w:color w:val="000000"/>
          <w:lang w:eastAsia="es-CL"/>
        </w:rPr>
        <w:t xml:space="preserve">hogares que se han beneficiado con el IFE a la fecha, en promedio han recibido un total </w:t>
      </w:r>
      <w:r w:rsidRPr="00F94DB7">
        <w:rPr>
          <w:rFonts w:eastAsia="Times New Roman" w:cstheme="minorHAnsi"/>
          <w:color w:val="000000"/>
          <w:lang w:eastAsia="es-CL"/>
        </w:rPr>
        <w:t xml:space="preserve">de </w:t>
      </w:r>
      <w:r w:rsidR="00B43017">
        <w:rPr>
          <w:rFonts w:eastAsia="Times New Roman" w:cstheme="minorHAnsi"/>
          <w:color w:val="000000"/>
          <w:lang w:eastAsia="es-CL"/>
        </w:rPr>
        <w:t>10,3</w:t>
      </w:r>
      <w:r w:rsidR="009766F7" w:rsidRPr="0098246A">
        <w:rPr>
          <w:rFonts w:eastAsia="Times New Roman" w:cstheme="minorHAnsi"/>
          <w:color w:val="000000"/>
          <w:lang w:eastAsia="es-CL"/>
        </w:rPr>
        <w:t xml:space="preserve"> </w:t>
      </w:r>
      <w:r w:rsidRPr="009B7400">
        <w:rPr>
          <w:rFonts w:eastAsia="Times New Roman" w:cstheme="minorHAnsi"/>
          <w:color w:val="000000"/>
          <w:lang w:eastAsia="es-CL"/>
        </w:rPr>
        <w:t xml:space="preserve">aportes mensuales, existiendo </w:t>
      </w:r>
      <w:r w:rsidRPr="009B7400">
        <w:rPr>
          <w:rFonts w:eastAsia="Times New Roman" w:cstheme="minorHAnsi"/>
          <w:b/>
          <w:bCs/>
          <w:color w:val="000000"/>
          <w:lang w:eastAsia="es-CL"/>
        </w:rPr>
        <w:t xml:space="preserve">más </w:t>
      </w:r>
      <w:r w:rsidR="00EC52BD" w:rsidRPr="004C0DF0">
        <w:rPr>
          <w:rFonts w:eastAsia="Times New Roman" w:cstheme="minorHAnsi"/>
          <w:b/>
          <w:bCs/>
          <w:color w:val="000000"/>
          <w:lang w:eastAsia="es-CL"/>
        </w:rPr>
        <w:t xml:space="preserve">de </w:t>
      </w:r>
      <w:r w:rsidRPr="004C0DF0">
        <w:rPr>
          <w:rFonts w:eastAsia="Times New Roman" w:cstheme="minorHAnsi"/>
          <w:b/>
          <w:bCs/>
          <w:color w:val="000000"/>
          <w:lang w:eastAsia="es-CL"/>
        </w:rPr>
        <w:t>70</w:t>
      </w:r>
      <w:r w:rsidR="00B8097D">
        <w:rPr>
          <w:rFonts w:eastAsia="Times New Roman" w:cstheme="minorHAnsi"/>
          <w:b/>
          <w:bCs/>
          <w:color w:val="000000"/>
          <w:lang w:eastAsia="es-CL"/>
        </w:rPr>
        <w:t>7</w:t>
      </w:r>
      <w:r w:rsidRPr="004C0DF0">
        <w:rPr>
          <w:rFonts w:eastAsia="Times New Roman" w:cstheme="minorHAnsi"/>
          <w:b/>
          <w:bCs/>
          <w:color w:val="000000"/>
          <w:lang w:eastAsia="es-CL"/>
        </w:rPr>
        <w:t xml:space="preserve"> mil hogares que han recibido los </w:t>
      </w:r>
      <w:r w:rsidR="00B43017">
        <w:rPr>
          <w:rFonts w:eastAsia="Times New Roman" w:cstheme="minorHAnsi"/>
          <w:b/>
          <w:bCs/>
          <w:color w:val="000000"/>
          <w:lang w:eastAsia="es-CL"/>
        </w:rPr>
        <w:t>18</w:t>
      </w:r>
      <w:r w:rsidR="00B43017" w:rsidRPr="004C0DF0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4C0DF0">
        <w:rPr>
          <w:rFonts w:eastAsia="Times New Roman" w:cstheme="minorHAnsi"/>
          <w:b/>
          <w:bCs/>
          <w:color w:val="000000"/>
          <w:lang w:eastAsia="es-CL"/>
        </w:rPr>
        <w:t>pagos que se han realizado a la fecha</w:t>
      </w:r>
      <w:r w:rsidRPr="004C0DF0">
        <w:rPr>
          <w:rFonts w:eastAsia="Times New Roman" w:cstheme="minorHAnsi"/>
          <w:color w:val="000000"/>
          <w:lang w:eastAsia="es-CL"/>
        </w:rPr>
        <w:t>.</w:t>
      </w:r>
    </w:p>
    <w:p w14:paraId="0FEC6F8F" w14:textId="05437D10" w:rsidR="00750002" w:rsidRDefault="00B43017" w:rsidP="000B5814">
      <w:pPr>
        <w:spacing w:before="240" w:after="240" w:line="240" w:lineRule="auto"/>
        <w:jc w:val="center"/>
        <w:rPr>
          <w:rFonts w:eastAsia="Times New Roman" w:cstheme="minorHAnsi"/>
          <w:color w:val="000000"/>
          <w:lang w:eastAsia="es-CL"/>
        </w:rPr>
      </w:pPr>
      <w:r w:rsidRPr="00C938AA">
        <w:rPr>
          <w:rFonts w:eastAsia="Times New Roman" w:cstheme="minorHAnsi"/>
          <w:b/>
          <w:bCs/>
          <w:color w:val="000000"/>
          <w:lang w:eastAsia="es-CL"/>
        </w:rPr>
        <w:t>Hogares beneficiarios del IFE universal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por la cantidad de pagos recibidos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913"/>
        <w:gridCol w:w="1335"/>
      </w:tblGrid>
      <w:tr w:rsidR="008F63B0" w:rsidRPr="008F63B0" w14:paraId="5E5E2A5F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45C6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Número de pagos recibidos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74AC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Número de hogares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016" w14:textId="40911B6A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% </w:t>
            </w: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de hogares</w:t>
            </w:r>
          </w:p>
        </w:tc>
      </w:tr>
      <w:tr w:rsidR="008F63B0" w:rsidRPr="008F63B0" w14:paraId="38992293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90F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4986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62.406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B28" w14:textId="15C6B3E0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0,7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4F5ED4A4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175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2077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85.508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B7B" w14:textId="1881115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1,0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5C811E4A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D72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42C1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90.617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C68" w14:textId="62CAAD4A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1,1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2C930A44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D2AD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FDD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87.244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309" w14:textId="1A14960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1,0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2AE567BC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9CCF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D53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417.346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C7F9" w14:textId="1871C794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5,0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37A26008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DB1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E355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1.980.748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3162" w14:textId="13F0653E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23,7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4BB2E70E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E2B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A9A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382.127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4DD5" w14:textId="4719296E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4,6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1734A286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589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D42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1.608.027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7133" w14:textId="795A9C2E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19,2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15B50BB6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5DC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A831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134.944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2F86" w14:textId="292FAD8E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1,6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1D497977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B66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06E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186.980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6C6" w14:textId="34A803B5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2,2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61C00592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9469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33E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120.325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35DB" w14:textId="75BD01CD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1,4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2C485428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B5A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217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88.828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379E" w14:textId="79F37F68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1,1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25AD894F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F5D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503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240.207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C23E" w14:textId="600A589D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2,9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295D9CF0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6BCD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519F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453.502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F270" w14:textId="0D704068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5,4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37CF3821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C8C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3AB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499.067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26D" w14:textId="67DDBF36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6,0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01F8FCE7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1D3C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912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580.873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BF3" w14:textId="52B0637D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6,9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0CED90DD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24E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081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648.821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15C" w14:textId="310993FA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7,7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6A38C559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AFB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79B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707.526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E688" w14:textId="60F1FFC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8,4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8F63B0" w:rsidRPr="008F63B0" w14:paraId="085D34F3" w14:textId="77777777" w:rsidTr="000B5814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E49" w14:textId="77777777" w:rsidR="008F63B0" w:rsidRPr="008F63B0" w:rsidRDefault="008F63B0" w:rsidP="008F6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9007" w14:textId="77777777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8.375.096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1749" w14:textId="6B2F76C3" w:rsidR="008F63B0" w:rsidRPr="008F63B0" w:rsidRDefault="008F63B0" w:rsidP="008F6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63B0">
              <w:rPr>
                <w:rFonts w:ascii="Calibri" w:eastAsia="Times New Roman" w:hAnsi="Calibri" w:cs="Calibri"/>
                <w:color w:val="000000"/>
                <w:lang w:eastAsia="es-CL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,0%</w:t>
            </w:r>
          </w:p>
        </w:tc>
      </w:tr>
    </w:tbl>
    <w:p w14:paraId="2355B372" w14:textId="77777777" w:rsidR="008F63B0" w:rsidRPr="00374682" w:rsidRDefault="008F63B0" w:rsidP="008F63B0">
      <w:pPr>
        <w:spacing w:before="160" w:after="0" w:line="240" w:lineRule="auto"/>
        <w:ind w:left="2642" w:right="2659"/>
        <w:contextualSpacing/>
        <w:jc w:val="center"/>
        <w:rPr>
          <w:rFonts w:eastAsia="Times New Roman" w:cstheme="minorHAnsi"/>
          <w:sz w:val="16"/>
          <w:szCs w:val="16"/>
          <w:lang w:eastAsia="es-CL"/>
        </w:rPr>
      </w:pPr>
      <w:r w:rsidRPr="00374682">
        <w:rPr>
          <w:rFonts w:eastAsia="Times New Roman" w:cstheme="minorHAnsi"/>
          <w:color w:val="000000"/>
          <w:sz w:val="16"/>
          <w:szCs w:val="16"/>
          <w:lang w:eastAsia="es-CL"/>
        </w:rPr>
        <w:t>Fuente: Subsecretaría de Evaluación Social – MDSF.</w:t>
      </w:r>
    </w:p>
    <w:p w14:paraId="13EFF1A3" w14:textId="77777777" w:rsidR="00750002" w:rsidRPr="005E2AF9" w:rsidRDefault="00750002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72AE2A34" w14:textId="22158B89" w:rsidR="007E69B4" w:rsidRPr="00C938AA" w:rsidRDefault="008D35B1" w:rsidP="00A1488A">
      <w:pPr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8D35B1">
        <w:rPr>
          <w:rFonts w:eastAsia="Times New Roman" w:cstheme="minorHAnsi"/>
          <w:color w:val="000000"/>
          <w:lang w:eastAsia="es-CL"/>
        </w:rPr>
        <w:t xml:space="preserve">5.- </w:t>
      </w:r>
      <w:r w:rsidRPr="008D35B1">
        <w:rPr>
          <w:rFonts w:eastAsia="Times New Roman" w:cstheme="minorHAnsi"/>
          <w:b/>
          <w:bCs/>
          <w:color w:val="000000"/>
          <w:lang w:eastAsia="es-CL"/>
        </w:rPr>
        <w:t xml:space="preserve">En promedio, cada hogar beneficiado ha recibido </w:t>
      </w:r>
      <w:r w:rsidR="008F63B0">
        <w:rPr>
          <w:rFonts w:eastAsia="Times New Roman" w:cstheme="minorHAnsi"/>
          <w:b/>
          <w:bCs/>
          <w:color w:val="000000"/>
          <w:lang w:eastAsia="es-CL"/>
        </w:rPr>
        <w:t xml:space="preserve">más de </w:t>
      </w:r>
      <w:r w:rsidR="00AB0EDE">
        <w:rPr>
          <w:rFonts w:eastAsia="Times New Roman" w:cstheme="minorHAnsi"/>
          <w:b/>
          <w:bCs/>
          <w:color w:val="000000"/>
          <w:lang w:eastAsia="es-CL"/>
        </w:rPr>
        <w:t>d</w:t>
      </w:r>
      <w:r w:rsidR="009F41F3">
        <w:rPr>
          <w:rFonts w:eastAsia="Times New Roman" w:cstheme="minorHAnsi"/>
          <w:b/>
          <w:bCs/>
          <w:color w:val="000000"/>
          <w:lang w:eastAsia="es-CL"/>
        </w:rPr>
        <w:t xml:space="preserve">os </w:t>
      </w:r>
      <w:r w:rsidR="00797E26" w:rsidRPr="00F94DB7">
        <w:rPr>
          <w:rFonts w:eastAsia="Times New Roman" w:cstheme="minorHAnsi"/>
          <w:b/>
          <w:bCs/>
          <w:color w:val="000000"/>
          <w:lang w:eastAsia="es-CL"/>
        </w:rPr>
        <w:t>mill</w:t>
      </w:r>
      <w:r w:rsidR="009F41F3">
        <w:rPr>
          <w:rFonts w:eastAsia="Times New Roman" w:cstheme="minorHAnsi"/>
          <w:b/>
          <w:bCs/>
          <w:color w:val="000000"/>
          <w:lang w:eastAsia="es-CL"/>
        </w:rPr>
        <w:t>o</w:t>
      </w:r>
      <w:r w:rsidR="00797E26" w:rsidRPr="00F94DB7">
        <w:rPr>
          <w:rFonts w:eastAsia="Times New Roman" w:cstheme="minorHAnsi"/>
          <w:b/>
          <w:bCs/>
          <w:color w:val="000000"/>
          <w:lang w:eastAsia="es-CL"/>
        </w:rPr>
        <w:t>n</w:t>
      </w:r>
      <w:r w:rsidR="009F41F3">
        <w:rPr>
          <w:rFonts w:eastAsia="Times New Roman" w:cstheme="minorHAnsi"/>
          <w:b/>
          <w:bCs/>
          <w:color w:val="000000"/>
          <w:lang w:eastAsia="es-CL"/>
        </w:rPr>
        <w:t>es de</w:t>
      </w:r>
      <w:r w:rsidRPr="00F94DB7">
        <w:rPr>
          <w:rFonts w:eastAsia="Times New Roman" w:cstheme="minorHAnsi"/>
          <w:b/>
          <w:bCs/>
          <w:color w:val="000000"/>
          <w:lang w:eastAsia="es-CL"/>
        </w:rPr>
        <w:t xml:space="preserve"> pesos</w:t>
      </w:r>
      <w:r w:rsidRPr="008D35B1">
        <w:rPr>
          <w:rFonts w:eastAsia="Times New Roman" w:cstheme="minorHAnsi"/>
          <w:b/>
          <w:bCs/>
          <w:color w:val="000000"/>
          <w:lang w:eastAsia="es-CL"/>
        </w:rPr>
        <w:t xml:space="preserve"> por IFE</w:t>
      </w:r>
      <w:r w:rsidRPr="008D35B1">
        <w:rPr>
          <w:rFonts w:eastAsia="Times New Roman" w:cstheme="minorHAnsi"/>
          <w:color w:val="000000"/>
          <w:lang w:eastAsia="es-CL"/>
        </w:rPr>
        <w:t xml:space="preserve">: Con los </w:t>
      </w:r>
      <w:r w:rsidR="008F63B0">
        <w:rPr>
          <w:rFonts w:eastAsia="Times New Roman" w:cstheme="minorHAnsi"/>
          <w:color w:val="000000"/>
          <w:lang w:eastAsia="es-CL"/>
        </w:rPr>
        <w:t>18</w:t>
      </w:r>
      <w:r w:rsidR="008F63B0" w:rsidRPr="008D35B1">
        <w:rPr>
          <w:rFonts w:eastAsia="Times New Roman" w:cstheme="minorHAnsi"/>
          <w:color w:val="000000"/>
          <w:lang w:eastAsia="es-CL"/>
        </w:rPr>
        <w:t xml:space="preserve"> </w:t>
      </w:r>
      <w:r w:rsidRPr="002809C7">
        <w:rPr>
          <w:rFonts w:eastAsia="Times New Roman" w:cstheme="minorHAnsi"/>
          <w:color w:val="000000"/>
          <w:lang w:eastAsia="es-CL"/>
        </w:rPr>
        <w:t>aportes pagados hasta la fech</w:t>
      </w:r>
      <w:r w:rsidR="00527F89">
        <w:rPr>
          <w:rFonts w:eastAsia="Times New Roman" w:cstheme="minorHAnsi"/>
          <w:color w:val="000000"/>
          <w:lang w:eastAsia="es-CL"/>
        </w:rPr>
        <w:t xml:space="preserve">a </w:t>
      </w:r>
      <w:r w:rsidRPr="002809C7">
        <w:rPr>
          <w:rFonts w:eastAsia="Times New Roman" w:cstheme="minorHAnsi"/>
          <w:b/>
          <w:bCs/>
          <w:color w:val="000000"/>
          <w:lang w:eastAsia="es-CL"/>
        </w:rPr>
        <w:t>se han beneficiado a</w:t>
      </w:r>
      <w:r w:rsidR="00111D3E" w:rsidRPr="0098246A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="008F63B0">
        <w:rPr>
          <w:rFonts w:eastAsia="Times New Roman" w:cstheme="minorHAnsi"/>
          <w:b/>
          <w:bCs/>
          <w:color w:val="000000"/>
          <w:lang w:eastAsia="es-CL"/>
        </w:rPr>
        <w:t>8.375.096</w:t>
      </w:r>
      <w:r w:rsidR="00947434" w:rsidRPr="005E2AF9">
        <w:rPr>
          <w:rFonts w:eastAsia="Times New Roman" w:cstheme="minorHAnsi"/>
          <w:color w:val="000000"/>
          <w:lang w:eastAsia="es-CL"/>
        </w:rPr>
        <w:t xml:space="preserve"> </w:t>
      </w:r>
      <w:r w:rsidR="00143B6A" w:rsidRPr="001A7762" w:rsidDel="004678B8">
        <w:rPr>
          <w:rFonts w:eastAsia="Times New Roman" w:cstheme="minorHAnsi"/>
          <w:b/>
          <w:bCs/>
          <w:color w:val="000000"/>
          <w:lang w:eastAsia="es-CL"/>
        </w:rPr>
        <w:t>hogares</w:t>
      </w:r>
      <w:r w:rsidRPr="002809C7">
        <w:rPr>
          <w:rFonts w:eastAsia="Times New Roman" w:cstheme="minorHAnsi"/>
          <w:b/>
          <w:bCs/>
          <w:color w:val="000000"/>
          <w:lang w:eastAsia="es-CL"/>
        </w:rPr>
        <w:t xml:space="preserve">, </w:t>
      </w:r>
      <w:r w:rsidR="009C2B4C">
        <w:rPr>
          <w:rFonts w:eastAsia="Times New Roman" w:cstheme="minorHAnsi"/>
          <w:b/>
          <w:bCs/>
          <w:color w:val="000000"/>
          <w:lang w:eastAsia="es-CL"/>
        </w:rPr>
        <w:t xml:space="preserve">compuestos </w:t>
      </w:r>
      <w:r w:rsidR="00DD2460" w:rsidRPr="002809C7">
        <w:rPr>
          <w:rFonts w:eastAsia="Times New Roman" w:cstheme="minorHAnsi"/>
          <w:b/>
          <w:bCs/>
          <w:color w:val="000000"/>
          <w:lang w:eastAsia="es-CL"/>
        </w:rPr>
        <w:t>por</w:t>
      </w:r>
      <w:r w:rsidR="00DD2460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="00202DB1">
        <w:rPr>
          <w:rFonts w:eastAsia="Times New Roman" w:cstheme="minorHAnsi"/>
          <w:b/>
          <w:bCs/>
          <w:color w:val="000000"/>
          <w:lang w:eastAsia="es-CL"/>
        </w:rPr>
        <w:t>16.737.926</w:t>
      </w:r>
      <w:r w:rsidR="00633C1A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CC4F6C">
        <w:rPr>
          <w:rFonts w:eastAsia="Times New Roman" w:cstheme="minorHAnsi"/>
          <w:b/>
          <w:bCs/>
          <w:color w:val="000000"/>
          <w:lang w:eastAsia="es-CL"/>
        </w:rPr>
        <w:t>personas</w:t>
      </w:r>
      <w:r w:rsidRPr="00CC4F6C">
        <w:rPr>
          <w:rFonts w:eastAsia="Times New Roman" w:cstheme="minorHAnsi"/>
          <w:color w:val="000000"/>
          <w:lang w:eastAsia="es-CL"/>
        </w:rPr>
        <w:t>,</w:t>
      </w:r>
      <w:r w:rsidRPr="002809C7">
        <w:rPr>
          <w:rFonts w:eastAsia="Times New Roman" w:cstheme="minorHAnsi"/>
          <w:color w:val="000000"/>
          <w:lang w:eastAsia="es-CL"/>
        </w:rPr>
        <w:t xml:space="preserve"> lo que </w:t>
      </w:r>
      <w:r w:rsidRPr="006908A4">
        <w:rPr>
          <w:rFonts w:eastAsia="Times New Roman" w:cstheme="minorHAnsi"/>
          <w:color w:val="000000"/>
          <w:lang w:eastAsia="es-CL"/>
        </w:rPr>
        <w:t xml:space="preserve">corresponde al </w:t>
      </w:r>
      <w:r w:rsidR="008F63B0">
        <w:rPr>
          <w:rFonts w:eastAsia="Times New Roman" w:cstheme="minorHAnsi"/>
          <w:color w:val="000000"/>
          <w:lang w:eastAsia="es-CL"/>
        </w:rPr>
        <w:t xml:space="preserve">96,5 </w:t>
      </w:r>
      <w:r w:rsidRPr="006908A4">
        <w:rPr>
          <w:rFonts w:eastAsia="Times New Roman" w:cstheme="minorHAnsi"/>
          <w:color w:val="000000"/>
          <w:lang w:eastAsia="es-CL"/>
        </w:rPr>
        <w:t>%</w:t>
      </w:r>
      <w:r w:rsidRPr="004F615C">
        <w:rPr>
          <w:rFonts w:eastAsia="Times New Roman" w:cstheme="minorHAnsi"/>
          <w:color w:val="000000"/>
          <w:lang w:eastAsia="es-CL"/>
        </w:rPr>
        <w:t xml:space="preserve"> del</w:t>
      </w:r>
      <w:r w:rsidRPr="002809C7">
        <w:rPr>
          <w:rFonts w:eastAsia="Times New Roman" w:cstheme="minorHAnsi"/>
          <w:color w:val="000000"/>
          <w:lang w:eastAsia="es-CL"/>
        </w:rPr>
        <w:t xml:space="preserve"> total de hogares en el RSH</w:t>
      </w:r>
      <w:r w:rsidR="00F4441F" w:rsidRPr="002809C7">
        <w:rPr>
          <w:rFonts w:eastAsia="Times New Roman" w:cstheme="minorHAnsi"/>
          <w:color w:val="000000"/>
          <w:lang w:eastAsia="es-CL"/>
        </w:rPr>
        <w:t xml:space="preserve"> de </w:t>
      </w:r>
      <w:r w:rsidR="00355612">
        <w:rPr>
          <w:rFonts w:eastAsia="Times New Roman" w:cstheme="minorHAnsi"/>
          <w:color w:val="000000"/>
          <w:lang w:eastAsia="es-CL"/>
        </w:rPr>
        <w:t>noviembre</w:t>
      </w:r>
      <w:r w:rsidR="0003638A">
        <w:rPr>
          <w:rFonts w:eastAsia="Times New Roman" w:cstheme="minorHAnsi"/>
          <w:color w:val="000000"/>
          <w:lang w:eastAsia="es-CL"/>
        </w:rPr>
        <w:t xml:space="preserve"> </w:t>
      </w:r>
      <w:r w:rsidR="00217BBA">
        <w:rPr>
          <w:rFonts w:eastAsia="Times New Roman" w:cstheme="minorHAnsi"/>
          <w:color w:val="000000"/>
          <w:lang w:eastAsia="es-CL"/>
        </w:rPr>
        <w:t>de 2021</w:t>
      </w:r>
      <w:r w:rsidRPr="002809C7">
        <w:rPr>
          <w:rFonts w:eastAsia="Times New Roman" w:cstheme="minorHAnsi"/>
          <w:color w:val="000000"/>
          <w:lang w:eastAsia="es-CL"/>
        </w:rPr>
        <w:t xml:space="preserve">. </w:t>
      </w:r>
      <w:r w:rsidRPr="002809C7">
        <w:rPr>
          <w:rFonts w:eastAsia="Times New Roman" w:cstheme="minorHAnsi"/>
          <w:b/>
          <w:bCs/>
          <w:color w:val="000000"/>
          <w:lang w:eastAsia="es-CL"/>
        </w:rPr>
        <w:t xml:space="preserve">Estos hogares han recibido, en </w:t>
      </w:r>
      <w:r w:rsidRPr="00191D7A">
        <w:rPr>
          <w:rFonts w:eastAsia="Times New Roman" w:cstheme="minorHAnsi"/>
          <w:b/>
          <w:bCs/>
          <w:color w:val="000000"/>
          <w:lang w:eastAsia="es-CL"/>
        </w:rPr>
        <w:t xml:space="preserve">promedio, un total </w:t>
      </w:r>
      <w:r w:rsidR="009206F4" w:rsidRPr="00191D7A">
        <w:rPr>
          <w:rFonts w:eastAsia="Times New Roman" w:cstheme="minorHAnsi"/>
          <w:b/>
          <w:bCs/>
          <w:color w:val="000000"/>
          <w:lang w:eastAsia="es-CL"/>
        </w:rPr>
        <w:t xml:space="preserve">de </w:t>
      </w:r>
      <w:r w:rsidR="00C83F97">
        <w:rPr>
          <w:rFonts w:eastAsia="Times New Roman" w:cstheme="minorHAnsi"/>
          <w:b/>
          <w:bCs/>
          <w:color w:val="000000"/>
          <w:lang w:eastAsia="es-CL"/>
        </w:rPr>
        <w:t>$</w:t>
      </w:r>
      <w:r w:rsidR="00202DB1">
        <w:rPr>
          <w:rFonts w:eastAsia="Times New Roman" w:cstheme="minorHAnsi"/>
          <w:b/>
          <w:bCs/>
          <w:color w:val="000000"/>
          <w:lang w:eastAsia="es-CL"/>
        </w:rPr>
        <w:t>2.257.184</w:t>
      </w:r>
      <w:r w:rsidR="006908A4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191D7A">
        <w:rPr>
          <w:rFonts w:eastAsia="Times New Roman" w:cstheme="minorHAnsi"/>
          <w:b/>
          <w:bCs/>
          <w:color w:val="000000"/>
          <w:lang w:eastAsia="es-CL"/>
        </w:rPr>
        <w:t>por estas</w:t>
      </w:r>
      <w:r w:rsidRPr="002809C7">
        <w:rPr>
          <w:rFonts w:eastAsia="Times New Roman" w:cstheme="minorHAnsi"/>
          <w:b/>
          <w:bCs/>
          <w:color w:val="000000"/>
          <w:lang w:eastAsia="es-CL"/>
        </w:rPr>
        <w:t xml:space="preserve"> transferencias</w:t>
      </w:r>
      <w:r w:rsidR="00271633" w:rsidRPr="002809C7">
        <w:rPr>
          <w:rFonts w:eastAsia="Times New Roman" w:cstheme="minorHAnsi"/>
          <w:b/>
          <w:bCs/>
          <w:color w:val="000000"/>
          <w:lang w:eastAsia="es-CL"/>
        </w:rPr>
        <w:t>.</w:t>
      </w:r>
    </w:p>
    <w:p w14:paraId="4CB17C57" w14:textId="77777777" w:rsidR="00C53C7A" w:rsidRDefault="00AF6E92" w:rsidP="00EF4ADC">
      <w:pPr>
        <w:spacing w:after="0" w:line="240" w:lineRule="auto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6.- </w:t>
      </w:r>
      <w:r w:rsidRPr="00BE0A1A">
        <w:rPr>
          <w:rFonts w:eastAsia="Times New Roman" w:cstheme="minorHAnsi"/>
          <w:b/>
          <w:color w:val="000000"/>
          <w:lang w:eastAsia="es-CL"/>
        </w:rPr>
        <w:t>Mejora en los montos de IFE y Bono Covid 2021</w:t>
      </w:r>
      <w:r>
        <w:rPr>
          <w:rFonts w:eastAsia="Times New Roman" w:cstheme="minorHAnsi"/>
          <w:color w:val="000000"/>
          <w:lang w:eastAsia="es-CL"/>
        </w:rPr>
        <w:t>:</w:t>
      </w:r>
    </w:p>
    <w:tbl>
      <w:tblPr>
        <w:tblW w:w="568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733"/>
        <w:gridCol w:w="920"/>
        <w:gridCol w:w="825"/>
        <w:gridCol w:w="920"/>
        <w:gridCol w:w="1125"/>
        <w:gridCol w:w="1117"/>
        <w:gridCol w:w="1423"/>
      </w:tblGrid>
      <w:tr w:rsidR="00EF4ADC" w:rsidRPr="00EF4ADC" w14:paraId="207D50AE" w14:textId="77777777" w:rsidTr="002C54A1">
        <w:trPr>
          <w:trHeight w:val="315"/>
        </w:trPr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2AAB463E" w14:textId="54502A8D" w:rsidR="00EF4ADC" w:rsidRPr="00EF4ADC" w:rsidRDefault="00AF6E92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EF4ADC"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40" w:type="dxa"/>
            <w:gridSpan w:val="6"/>
            <w:shd w:val="clear" w:color="auto" w:fill="auto"/>
            <w:vAlign w:val="center"/>
            <w:hideMark/>
          </w:tcPr>
          <w:p w14:paraId="07B27B37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Monto promedio por hogar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14:paraId="652D936B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Total</w:t>
            </w:r>
          </w:p>
        </w:tc>
      </w:tr>
      <w:tr w:rsidR="009069AE" w:rsidRPr="00EF4ADC" w14:paraId="41DCE709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028CF0C4" w14:textId="42C85479" w:rsidR="00EF4ADC" w:rsidRPr="00EF4ADC" w:rsidRDefault="00EF4ADC" w:rsidP="00CC3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Beneficio/Monto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3FD429A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$25 mil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5F0FF03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$40 mil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9740A9B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$80 mil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3C7A119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$100 mil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C7BE5D1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$177 mil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82C636E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$88,5 mil</w:t>
            </w:r>
          </w:p>
        </w:tc>
        <w:tc>
          <w:tcPr>
            <w:tcW w:w="1423" w:type="dxa"/>
            <w:vMerge/>
            <w:vAlign w:val="center"/>
            <w:hideMark/>
          </w:tcPr>
          <w:p w14:paraId="09EF715E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069AE" w:rsidRPr="00EF4ADC" w14:paraId="744A0CEA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52980D79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IFE y Bono COVID enero 2021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E49C68E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$85.498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F530921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$100.389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F922523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$206.808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4A763A3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$262.652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4A65FB2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DB216B2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041D54C7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$111.889</w:t>
            </w:r>
          </w:p>
        </w:tc>
      </w:tr>
      <w:tr w:rsidR="009069AE" w:rsidRPr="00EF4ADC" w14:paraId="58A1E7AB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57DE56CE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IFE y Bono COVID febrero 2021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7B508F6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$81.862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7257CF7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$99.613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437E108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$204.977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EC0A674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$252.273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FBE92F8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D192468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4896B4C6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$131.676</w:t>
            </w:r>
          </w:p>
        </w:tc>
      </w:tr>
      <w:tr w:rsidR="009069AE" w:rsidRPr="00EF4ADC" w14:paraId="6EBFB4F5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56417FDC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IFE y Bono COVID marzo 2021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9D2F49D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$81.690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CFEEEC6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$99.681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B1ADD32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$201.301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0A4BB01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$261.162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AA6E84F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02AFB76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1BFDB2C3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$143.169</w:t>
            </w:r>
          </w:p>
        </w:tc>
      </w:tr>
      <w:tr w:rsidR="009069AE" w:rsidRPr="00EF4ADC" w14:paraId="56D485C2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4B8E1E34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IFE Ampliado abril 2021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6298CD4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30C75FD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0171DA3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1D8CEEF" w14:textId="11C8F9E6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$224.37</w:t>
            </w:r>
            <w:r w:rsidR="000363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5875CB2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4FC0982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34059FE9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$224.372</w:t>
            </w:r>
          </w:p>
        </w:tc>
      </w:tr>
      <w:tr w:rsidR="009069AE" w:rsidRPr="00EF4ADC" w14:paraId="16ED9D3D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321C54B2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IFE Ampliado mayo 2021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3E9F5C0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1858C5C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B667572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4B46FF4" w14:textId="31745D91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$219.10</w:t>
            </w:r>
            <w:r w:rsidR="000363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937BFCD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AC60558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49C7F422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$219.102</w:t>
            </w:r>
          </w:p>
        </w:tc>
      </w:tr>
      <w:tr w:rsidR="009069AE" w:rsidRPr="00EF4ADC" w14:paraId="1DDDD74B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34B5DB51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IFE Universal junio 2021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FAB8812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28FE59E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568B863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768D93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822118D" w14:textId="1CC69DF1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</w:t>
            </w:r>
            <w:r w:rsidR="000363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288.310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E081D33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6854F23C" w14:textId="33A3055D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</w:t>
            </w:r>
            <w:r w:rsidR="000363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288.310</w:t>
            </w:r>
          </w:p>
        </w:tc>
      </w:tr>
      <w:tr w:rsidR="009069AE" w:rsidRPr="00EF4ADC" w14:paraId="40C17EA9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62991682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IFE Universal julio 2021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6017742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148E663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4BB1B6A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1774DF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3EB4DCD" w14:textId="38F1DA50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</w:t>
            </w:r>
            <w:r w:rsidR="000363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286.951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514938D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616D7F82" w14:textId="04F6EF3E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</w:t>
            </w:r>
            <w:r w:rsidR="000363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286.951</w:t>
            </w:r>
          </w:p>
        </w:tc>
      </w:tr>
      <w:tr w:rsidR="00EF4ADC" w:rsidRPr="00EF4ADC" w14:paraId="7DE956E2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5A24EA77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IFE Universal agosto 2021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543C599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4006DC7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F80340C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4599883" w14:textId="77777777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C3C9F7F" w14:textId="03FDB9DB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$28</w:t>
            </w:r>
            <w:r w:rsidR="000363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5.391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CBFB708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11DD9D54" w14:textId="29EDF7CC" w:rsidR="00EF4ADC" w:rsidRPr="00BD0860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D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</w:t>
            </w:r>
            <w:r w:rsidR="0003638A" w:rsidRPr="000B58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285.391</w:t>
            </w:r>
          </w:p>
        </w:tc>
      </w:tr>
      <w:tr w:rsidR="00EF4ADC" w:rsidRPr="00EF4ADC" w14:paraId="69964D6B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  <w:hideMark/>
          </w:tcPr>
          <w:p w14:paraId="7BB72538" w14:textId="1E5B626D" w:rsidR="00EF4ADC" w:rsidRPr="00EF4ADC" w:rsidRDefault="00EF4ADC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IFE Universal septiembre 2021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C1BBEC5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7254ED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030B4E8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98F395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1C58A06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24CDB6D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$142.342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498AB6DE" w14:textId="77777777" w:rsidR="00EF4ADC" w:rsidRPr="00EF4ADC" w:rsidRDefault="00EF4ADC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$142.342</w:t>
            </w:r>
          </w:p>
        </w:tc>
      </w:tr>
      <w:tr w:rsidR="009076D8" w:rsidRPr="00EF4ADC" w14:paraId="0FF9B85B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</w:tcPr>
          <w:p w14:paraId="6A0708C7" w14:textId="690ADD28" w:rsidR="009076D8" w:rsidRPr="00EF4ADC" w:rsidRDefault="009076D8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IFE Universal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octub</w:t>
            </w: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re 2021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AE89BC7" w14:textId="77777777" w:rsidR="009076D8" w:rsidRPr="00EF4ADC" w:rsidRDefault="009076D8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38ACE0D5" w14:textId="77777777" w:rsidR="009076D8" w:rsidRPr="00EF4ADC" w:rsidRDefault="009076D8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B3A266A" w14:textId="77777777" w:rsidR="009076D8" w:rsidRPr="00EF4ADC" w:rsidRDefault="009076D8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0E0A4F2" w14:textId="77777777" w:rsidR="009076D8" w:rsidRPr="00EF4ADC" w:rsidRDefault="009076D8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524BC18" w14:textId="009A1E9D" w:rsidR="009076D8" w:rsidRPr="00EF4ADC" w:rsidRDefault="0000781B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</w:t>
            </w:r>
            <w:r w:rsidRPr="000078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283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  <w:r w:rsidRPr="000078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9</w:t>
            </w:r>
            <w:r w:rsidR="000363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70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D50B8F1" w14:textId="77777777" w:rsidR="009076D8" w:rsidRPr="00EF4ADC" w:rsidRDefault="009076D8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CD3AF51" w14:textId="1E57846B" w:rsidR="009076D8" w:rsidRPr="00EF4ADC" w:rsidRDefault="0000781B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</w:t>
            </w:r>
            <w:r w:rsidRPr="000078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283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  <w:r w:rsidRPr="000078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9</w:t>
            </w:r>
            <w:r w:rsidR="000363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70</w:t>
            </w:r>
          </w:p>
        </w:tc>
      </w:tr>
      <w:tr w:rsidR="00202DB1" w:rsidRPr="00EF4ADC" w14:paraId="28C89782" w14:textId="77777777" w:rsidTr="002C54A1">
        <w:trPr>
          <w:trHeight w:val="315"/>
        </w:trPr>
        <w:tc>
          <w:tcPr>
            <w:tcW w:w="2980" w:type="dxa"/>
            <w:shd w:val="clear" w:color="auto" w:fill="auto"/>
            <w:vAlign w:val="center"/>
          </w:tcPr>
          <w:p w14:paraId="7BD7A96B" w14:textId="5F02BE68" w:rsidR="00202DB1" w:rsidRPr="00EF4ADC" w:rsidRDefault="00202DB1" w:rsidP="00EF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IFE Universal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noviembre</w:t>
            </w:r>
            <w:r w:rsidRPr="00EF4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2021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B8B7558" w14:textId="77777777" w:rsidR="00202DB1" w:rsidRPr="00EF4ADC" w:rsidRDefault="00202DB1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0217407" w14:textId="77777777" w:rsidR="00202DB1" w:rsidRPr="00EF4ADC" w:rsidRDefault="00202DB1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E6D2030" w14:textId="77777777" w:rsidR="00202DB1" w:rsidRPr="00EF4ADC" w:rsidRDefault="00202DB1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B789DA4" w14:textId="77777777" w:rsidR="00202DB1" w:rsidRPr="00EF4ADC" w:rsidRDefault="00202DB1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D446C00" w14:textId="1A5735A5" w:rsidR="00202DB1" w:rsidRDefault="00531BA9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$283.473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F02A85" w14:textId="77777777" w:rsidR="00202DB1" w:rsidRPr="00EF4ADC" w:rsidRDefault="00202DB1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C9C0716" w14:textId="7A8E36ED" w:rsidR="00202DB1" w:rsidRDefault="00531BA9" w:rsidP="00EF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$283.473</w:t>
            </w:r>
          </w:p>
        </w:tc>
      </w:tr>
    </w:tbl>
    <w:p w14:paraId="25CAE5ED" w14:textId="31F9F512" w:rsidR="00DC7397" w:rsidRPr="00374682" w:rsidRDefault="00DC7397" w:rsidP="004D3960">
      <w:pPr>
        <w:spacing w:after="24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es-CL"/>
        </w:rPr>
      </w:pPr>
      <w:r w:rsidRPr="00374682">
        <w:rPr>
          <w:rFonts w:eastAsia="Times New Roman" w:cstheme="minorHAnsi"/>
          <w:color w:val="000000"/>
          <w:sz w:val="16"/>
          <w:szCs w:val="16"/>
          <w:lang w:eastAsia="es-CL"/>
        </w:rPr>
        <w:t>Fuente: Subsecretaría de Evaluación Social – MDSF.</w:t>
      </w:r>
    </w:p>
    <w:p w14:paraId="73E37D7A" w14:textId="73B2AE0B" w:rsidR="00DC7397" w:rsidRPr="00374682" w:rsidRDefault="00DC7397" w:rsidP="00DC7397">
      <w:pPr>
        <w:spacing w:after="0" w:line="240" w:lineRule="auto"/>
        <w:ind w:right="-93"/>
        <w:jc w:val="both"/>
        <w:rPr>
          <w:rFonts w:eastAsia="Times New Roman" w:cstheme="minorHAnsi"/>
          <w:sz w:val="16"/>
          <w:szCs w:val="16"/>
          <w:lang w:eastAsia="es-CL"/>
        </w:rPr>
      </w:pPr>
      <w:r>
        <w:rPr>
          <w:rFonts w:eastAsia="Times New Roman" w:cstheme="minorHAnsi"/>
          <w:color w:val="000000"/>
          <w:sz w:val="16"/>
          <w:szCs w:val="16"/>
          <w:lang w:eastAsia="es-CL"/>
        </w:rPr>
        <w:t>Nota:</w:t>
      </w:r>
      <w:r w:rsidRPr="00374682">
        <w:rPr>
          <w:rFonts w:eastAsia="Times New Roman" w:cstheme="minorHAnsi"/>
          <w:color w:val="000000"/>
          <w:sz w:val="16"/>
          <w:szCs w:val="16"/>
          <w:lang w:eastAsia="es-CL"/>
        </w:rPr>
        <w:t xml:space="preserve"> </w:t>
      </w:r>
      <w:r w:rsidR="00CC34BB">
        <w:rPr>
          <w:rFonts w:eastAsia="Times New Roman" w:cstheme="minorHAnsi"/>
          <w:color w:val="000000"/>
          <w:sz w:val="16"/>
          <w:szCs w:val="16"/>
          <w:lang w:eastAsia="es-CL"/>
        </w:rPr>
        <w:t>t</w:t>
      </w:r>
      <w:r w:rsidRPr="00374682">
        <w:rPr>
          <w:rFonts w:eastAsia="Times New Roman" w:cstheme="minorHAnsi"/>
          <w:color w:val="000000"/>
          <w:sz w:val="16"/>
          <w:szCs w:val="16"/>
          <w:lang w:eastAsia="es-CL"/>
        </w:rPr>
        <w:t xml:space="preserve">odos los hogares de abril y mayo reciben los mismos montos según la cantidad de personas en el hogar, que es a lo menos </w:t>
      </w:r>
      <w:r>
        <w:rPr>
          <w:rFonts w:eastAsia="Times New Roman" w:cstheme="minorHAnsi"/>
          <w:color w:val="000000"/>
          <w:sz w:val="16"/>
          <w:szCs w:val="16"/>
          <w:lang w:eastAsia="es-CL"/>
        </w:rPr>
        <w:t>$</w:t>
      </w:r>
      <w:r w:rsidRPr="00374682">
        <w:rPr>
          <w:rFonts w:eastAsia="Times New Roman" w:cstheme="minorHAnsi"/>
          <w:color w:val="000000"/>
          <w:sz w:val="16"/>
          <w:szCs w:val="16"/>
          <w:lang w:eastAsia="es-CL"/>
        </w:rPr>
        <w:t xml:space="preserve">100 mil, mientras que en junio ese monto se incrementa a al menos </w:t>
      </w:r>
      <w:r>
        <w:rPr>
          <w:rFonts w:eastAsia="Times New Roman" w:cstheme="minorHAnsi"/>
          <w:color w:val="000000"/>
          <w:sz w:val="16"/>
          <w:szCs w:val="16"/>
          <w:lang w:eastAsia="es-CL"/>
        </w:rPr>
        <w:t>$</w:t>
      </w:r>
      <w:r w:rsidRPr="00374682">
        <w:rPr>
          <w:rFonts w:eastAsia="Times New Roman" w:cstheme="minorHAnsi"/>
          <w:color w:val="000000"/>
          <w:sz w:val="16"/>
          <w:szCs w:val="16"/>
          <w:lang w:eastAsia="es-CL"/>
        </w:rPr>
        <w:t>177 mil. La razón de las diferencias promedio por hogar radica en la incorporación al RSH de hogares de diferentes tamaños.</w:t>
      </w:r>
      <w:r w:rsidR="00606531">
        <w:rPr>
          <w:rFonts w:eastAsia="Times New Roman" w:cstheme="minorHAnsi"/>
          <w:color w:val="000000"/>
          <w:sz w:val="16"/>
          <w:szCs w:val="16"/>
          <w:lang w:eastAsia="es-CL"/>
        </w:rPr>
        <w:t xml:space="preserve"> En </w:t>
      </w:r>
      <w:r w:rsidR="00010DCE">
        <w:rPr>
          <w:rFonts w:eastAsia="Times New Roman" w:cstheme="minorHAnsi"/>
          <w:color w:val="000000"/>
          <w:sz w:val="16"/>
          <w:szCs w:val="16"/>
          <w:lang w:eastAsia="es-CL"/>
        </w:rPr>
        <w:t>s</w:t>
      </w:r>
      <w:r w:rsidR="00606531">
        <w:rPr>
          <w:rFonts w:eastAsia="Times New Roman" w:cstheme="minorHAnsi"/>
          <w:color w:val="000000"/>
          <w:sz w:val="16"/>
          <w:szCs w:val="16"/>
          <w:lang w:eastAsia="es-CL"/>
        </w:rPr>
        <w:t>eptiembre se entrega</w:t>
      </w:r>
      <w:r w:rsidR="003D2E17">
        <w:rPr>
          <w:rFonts w:eastAsia="Times New Roman" w:cstheme="minorHAnsi"/>
          <w:color w:val="000000"/>
          <w:sz w:val="16"/>
          <w:szCs w:val="16"/>
          <w:lang w:eastAsia="es-CL"/>
        </w:rPr>
        <w:t xml:space="preserve"> el 50% del</w:t>
      </w:r>
      <w:r w:rsidR="00C53C7A">
        <w:rPr>
          <w:rFonts w:eastAsia="Times New Roman" w:cstheme="minorHAnsi"/>
          <w:color w:val="000000"/>
          <w:sz w:val="16"/>
          <w:szCs w:val="16"/>
          <w:lang w:eastAsia="es-CL"/>
        </w:rPr>
        <w:t xml:space="preserve"> monto del IFE universal</w:t>
      </w:r>
      <w:r w:rsidR="00B320FA">
        <w:rPr>
          <w:rFonts w:eastAsia="Times New Roman" w:cstheme="minorHAnsi"/>
          <w:color w:val="000000"/>
          <w:sz w:val="16"/>
          <w:szCs w:val="16"/>
          <w:lang w:eastAsia="es-CL"/>
        </w:rPr>
        <w:t>, de acuerdo a lo establecido por el artículo primero transitorio de la ley N° 21.352</w:t>
      </w:r>
      <w:r w:rsidR="00C53C7A">
        <w:rPr>
          <w:rFonts w:eastAsia="Times New Roman" w:cstheme="minorHAnsi"/>
          <w:color w:val="000000"/>
          <w:sz w:val="16"/>
          <w:szCs w:val="16"/>
          <w:lang w:eastAsia="es-CL"/>
        </w:rPr>
        <w:t>.</w:t>
      </w:r>
      <w:r w:rsidR="003D2E17">
        <w:rPr>
          <w:rFonts w:eastAsia="Times New Roman" w:cstheme="minorHAnsi"/>
          <w:color w:val="000000"/>
          <w:sz w:val="16"/>
          <w:szCs w:val="16"/>
          <w:lang w:eastAsia="es-CL"/>
        </w:rPr>
        <w:t xml:space="preserve"> </w:t>
      </w:r>
      <w:r w:rsidR="00CC34BB">
        <w:rPr>
          <w:rFonts w:eastAsia="Times New Roman" w:cstheme="minorHAnsi"/>
          <w:color w:val="000000"/>
          <w:sz w:val="16"/>
          <w:szCs w:val="16"/>
          <w:lang w:eastAsia="es-CL"/>
        </w:rPr>
        <w:t>N</w:t>
      </w:r>
      <w:r w:rsidR="00D0396E">
        <w:rPr>
          <w:rFonts w:eastAsia="Times New Roman" w:cstheme="minorHAnsi"/>
          <w:color w:val="000000"/>
          <w:sz w:val="16"/>
          <w:szCs w:val="16"/>
          <w:lang w:eastAsia="es-CL"/>
        </w:rPr>
        <w:t>o se considera</w:t>
      </w:r>
      <w:r w:rsidR="00084177">
        <w:rPr>
          <w:rFonts w:eastAsia="Times New Roman" w:cstheme="minorHAnsi"/>
          <w:color w:val="000000"/>
          <w:sz w:val="16"/>
          <w:szCs w:val="16"/>
          <w:lang w:eastAsia="es-CL"/>
        </w:rPr>
        <w:t>n</w:t>
      </w:r>
      <w:r w:rsidR="00D0396E">
        <w:rPr>
          <w:rFonts w:eastAsia="Times New Roman" w:cstheme="minorHAnsi"/>
          <w:color w:val="000000"/>
          <w:sz w:val="16"/>
          <w:szCs w:val="16"/>
          <w:lang w:eastAsia="es-CL"/>
        </w:rPr>
        <w:t xml:space="preserve"> </w:t>
      </w:r>
      <w:r w:rsidR="00084177">
        <w:rPr>
          <w:rFonts w:eastAsia="Times New Roman" w:cstheme="minorHAnsi"/>
          <w:color w:val="000000"/>
          <w:sz w:val="16"/>
          <w:szCs w:val="16"/>
          <w:lang w:eastAsia="es-CL"/>
        </w:rPr>
        <w:t xml:space="preserve">los pagos generados por </w:t>
      </w:r>
      <w:r w:rsidR="00D0396E">
        <w:rPr>
          <w:rFonts w:eastAsia="Times New Roman" w:cstheme="minorHAnsi"/>
          <w:color w:val="000000"/>
          <w:sz w:val="16"/>
          <w:szCs w:val="16"/>
          <w:lang w:eastAsia="es-CL"/>
        </w:rPr>
        <w:t>IFE para migrantes.</w:t>
      </w:r>
    </w:p>
    <w:p w14:paraId="07BCFFEE" w14:textId="6BFA4679" w:rsidR="003946FF" w:rsidRDefault="003946FF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lastRenderedPageBreak/>
        <w:t xml:space="preserve">7.- </w:t>
      </w:r>
      <w:r w:rsidRPr="00B93252">
        <w:rPr>
          <w:rFonts w:eastAsia="Times New Roman" w:cstheme="minorHAnsi"/>
          <w:b/>
          <w:color w:val="000000"/>
          <w:lang w:eastAsia="es-CL"/>
        </w:rPr>
        <w:t>Gasto en transferencias</w:t>
      </w:r>
      <w:r>
        <w:rPr>
          <w:rFonts w:eastAsia="Times New Roman" w:cstheme="minorHAnsi"/>
          <w:color w:val="000000"/>
          <w:lang w:eastAsia="es-CL"/>
        </w:rPr>
        <w:t xml:space="preserve">: durante todo el año 2019 (el último sin pandemia) hubo un total de </w:t>
      </w:r>
      <w:r w:rsidR="00640049">
        <w:rPr>
          <w:rFonts w:eastAsia="Times New Roman" w:cstheme="minorHAnsi"/>
          <w:color w:val="000000"/>
          <w:lang w:eastAsia="es-CL"/>
        </w:rPr>
        <w:t xml:space="preserve">aproximadamente </w:t>
      </w:r>
      <w:r>
        <w:rPr>
          <w:rFonts w:eastAsia="Times New Roman" w:cstheme="minorHAnsi"/>
          <w:color w:val="000000"/>
          <w:lang w:eastAsia="es-CL"/>
        </w:rPr>
        <w:t xml:space="preserve">US$ </w:t>
      </w:r>
      <w:r w:rsidR="00640049">
        <w:rPr>
          <w:rFonts w:eastAsia="Times New Roman" w:cstheme="minorHAnsi"/>
          <w:color w:val="000000"/>
          <w:lang w:eastAsia="es-CL"/>
        </w:rPr>
        <w:t xml:space="preserve">906 </w:t>
      </w:r>
      <w:r>
        <w:rPr>
          <w:rFonts w:eastAsia="Times New Roman" w:cstheme="minorHAnsi"/>
          <w:color w:val="000000"/>
          <w:lang w:eastAsia="es-CL"/>
        </w:rPr>
        <w:t>millones en transferencias directas, considerando S</w:t>
      </w:r>
      <w:r w:rsidR="00E71C64">
        <w:rPr>
          <w:rFonts w:eastAsia="Times New Roman" w:cstheme="minorHAnsi"/>
          <w:color w:val="000000"/>
          <w:lang w:eastAsia="es-CL"/>
        </w:rPr>
        <w:t xml:space="preserve">ubsidio </w:t>
      </w:r>
      <w:r>
        <w:rPr>
          <w:rFonts w:eastAsia="Times New Roman" w:cstheme="minorHAnsi"/>
          <w:color w:val="000000"/>
          <w:lang w:eastAsia="es-CL"/>
        </w:rPr>
        <w:t>F</w:t>
      </w:r>
      <w:r w:rsidR="00E71C64">
        <w:rPr>
          <w:rFonts w:eastAsia="Times New Roman" w:cstheme="minorHAnsi"/>
          <w:color w:val="000000"/>
          <w:lang w:eastAsia="es-CL"/>
        </w:rPr>
        <w:t>amiliar (SUF)</w:t>
      </w:r>
      <w:r>
        <w:rPr>
          <w:rFonts w:eastAsia="Times New Roman" w:cstheme="minorHAnsi"/>
          <w:color w:val="000000"/>
          <w:lang w:eastAsia="es-CL"/>
        </w:rPr>
        <w:t xml:space="preserve">, </w:t>
      </w:r>
      <w:r w:rsidR="00E71C64">
        <w:rPr>
          <w:rFonts w:eastAsia="Times New Roman" w:cstheme="minorHAnsi"/>
          <w:color w:val="000000"/>
          <w:lang w:eastAsia="es-CL"/>
        </w:rPr>
        <w:t>Asignación Familiar</w:t>
      </w:r>
      <w:r>
        <w:rPr>
          <w:rFonts w:eastAsia="Times New Roman" w:cstheme="minorHAnsi"/>
          <w:color w:val="000000"/>
          <w:lang w:eastAsia="es-CL"/>
        </w:rPr>
        <w:t>, S</w:t>
      </w:r>
      <w:r w:rsidR="00E71C64">
        <w:rPr>
          <w:rFonts w:eastAsia="Times New Roman" w:cstheme="minorHAnsi"/>
          <w:color w:val="000000"/>
          <w:lang w:eastAsia="es-CL"/>
        </w:rPr>
        <w:t xml:space="preserve">ubsidio de </w:t>
      </w:r>
      <w:r>
        <w:rPr>
          <w:rFonts w:eastAsia="Times New Roman" w:cstheme="minorHAnsi"/>
          <w:color w:val="000000"/>
          <w:lang w:eastAsia="es-CL"/>
        </w:rPr>
        <w:t>D</w:t>
      </w:r>
      <w:r w:rsidR="00E71C64">
        <w:rPr>
          <w:rFonts w:eastAsia="Times New Roman" w:cstheme="minorHAnsi"/>
          <w:color w:val="000000"/>
          <w:lang w:eastAsia="es-CL"/>
        </w:rPr>
        <w:t xml:space="preserve">iscapacidad </w:t>
      </w:r>
      <w:r>
        <w:rPr>
          <w:rFonts w:eastAsia="Times New Roman" w:cstheme="minorHAnsi"/>
          <w:color w:val="000000"/>
          <w:lang w:eastAsia="es-CL"/>
        </w:rPr>
        <w:t>M</w:t>
      </w:r>
      <w:r w:rsidR="00E71C64">
        <w:rPr>
          <w:rFonts w:eastAsia="Times New Roman" w:cstheme="minorHAnsi"/>
          <w:color w:val="000000"/>
          <w:lang w:eastAsia="es-CL"/>
        </w:rPr>
        <w:t>ental</w:t>
      </w:r>
      <w:r>
        <w:rPr>
          <w:rFonts w:eastAsia="Times New Roman" w:cstheme="minorHAnsi"/>
          <w:color w:val="000000"/>
          <w:lang w:eastAsia="es-CL"/>
        </w:rPr>
        <w:t xml:space="preserve">, </w:t>
      </w:r>
      <w:r w:rsidRPr="005E2AF9">
        <w:rPr>
          <w:rFonts w:eastAsia="Times New Roman" w:cstheme="minorHAnsi"/>
          <w:color w:val="000000"/>
          <w:lang w:eastAsia="es-CL"/>
        </w:rPr>
        <w:t>A</w:t>
      </w:r>
      <w:r w:rsidR="00E71C64" w:rsidRPr="005E2AF9">
        <w:rPr>
          <w:rFonts w:eastAsia="Times New Roman" w:cstheme="minorHAnsi"/>
          <w:color w:val="000000"/>
          <w:lang w:eastAsia="es-CL"/>
        </w:rPr>
        <w:t>porte</w:t>
      </w:r>
      <w:r w:rsidR="00F13F42">
        <w:rPr>
          <w:rFonts w:eastAsia="Times New Roman" w:cstheme="minorHAnsi"/>
          <w:color w:val="000000"/>
          <w:lang w:eastAsia="es-CL"/>
        </w:rPr>
        <w:t xml:space="preserve"> </w:t>
      </w:r>
      <w:r>
        <w:rPr>
          <w:rFonts w:eastAsia="Times New Roman" w:cstheme="minorHAnsi"/>
          <w:color w:val="000000"/>
          <w:lang w:eastAsia="es-CL"/>
        </w:rPr>
        <w:t>F</w:t>
      </w:r>
      <w:r w:rsidR="00E71C64">
        <w:rPr>
          <w:rFonts w:eastAsia="Times New Roman" w:cstheme="minorHAnsi"/>
          <w:color w:val="000000"/>
          <w:lang w:eastAsia="es-CL"/>
        </w:rPr>
        <w:t xml:space="preserve">amiliar </w:t>
      </w:r>
      <w:r>
        <w:rPr>
          <w:rFonts w:eastAsia="Times New Roman" w:cstheme="minorHAnsi"/>
          <w:color w:val="000000"/>
          <w:lang w:eastAsia="es-CL"/>
        </w:rPr>
        <w:t>P</w:t>
      </w:r>
      <w:r w:rsidR="00E71C64">
        <w:rPr>
          <w:rFonts w:eastAsia="Times New Roman" w:cstheme="minorHAnsi"/>
          <w:color w:val="000000"/>
          <w:lang w:eastAsia="es-CL"/>
        </w:rPr>
        <w:t>ermanente</w:t>
      </w:r>
      <w:r>
        <w:rPr>
          <w:rFonts w:eastAsia="Times New Roman" w:cstheme="minorHAnsi"/>
          <w:color w:val="000000"/>
          <w:lang w:eastAsia="es-CL"/>
        </w:rPr>
        <w:t>, Bono Bodas de Oro, S</w:t>
      </w:r>
      <w:r w:rsidR="00E71C64">
        <w:rPr>
          <w:rFonts w:eastAsia="Times New Roman" w:cstheme="minorHAnsi"/>
          <w:color w:val="000000"/>
          <w:lang w:eastAsia="es-CL"/>
        </w:rPr>
        <w:t xml:space="preserve">ubsidio al </w:t>
      </w:r>
      <w:r>
        <w:rPr>
          <w:rFonts w:eastAsia="Times New Roman" w:cstheme="minorHAnsi"/>
          <w:color w:val="000000"/>
          <w:lang w:eastAsia="es-CL"/>
        </w:rPr>
        <w:t>E</w:t>
      </w:r>
      <w:r w:rsidR="00E71C64">
        <w:rPr>
          <w:rFonts w:eastAsia="Times New Roman" w:cstheme="minorHAnsi"/>
          <w:color w:val="000000"/>
          <w:lang w:eastAsia="es-CL"/>
        </w:rPr>
        <w:t xml:space="preserve">mpleo </w:t>
      </w:r>
      <w:r>
        <w:rPr>
          <w:rFonts w:eastAsia="Times New Roman" w:cstheme="minorHAnsi"/>
          <w:color w:val="000000"/>
          <w:lang w:eastAsia="es-CL"/>
        </w:rPr>
        <w:t>J</w:t>
      </w:r>
      <w:r w:rsidR="00E71C64">
        <w:rPr>
          <w:rFonts w:eastAsia="Times New Roman" w:cstheme="minorHAnsi"/>
          <w:color w:val="000000"/>
          <w:lang w:eastAsia="es-CL"/>
        </w:rPr>
        <w:t>oven</w:t>
      </w:r>
      <w:r>
        <w:rPr>
          <w:rFonts w:eastAsia="Times New Roman" w:cstheme="minorHAnsi"/>
          <w:color w:val="000000"/>
          <w:lang w:eastAsia="es-CL"/>
        </w:rPr>
        <w:t xml:space="preserve"> y B</w:t>
      </w:r>
      <w:r w:rsidR="00E71C64">
        <w:rPr>
          <w:rFonts w:eastAsia="Times New Roman" w:cstheme="minorHAnsi"/>
          <w:color w:val="000000"/>
          <w:lang w:eastAsia="es-CL"/>
        </w:rPr>
        <w:t xml:space="preserve">ono al </w:t>
      </w:r>
      <w:r>
        <w:rPr>
          <w:rFonts w:eastAsia="Times New Roman" w:cstheme="minorHAnsi"/>
          <w:color w:val="000000"/>
          <w:lang w:eastAsia="es-CL"/>
        </w:rPr>
        <w:t>T</w:t>
      </w:r>
      <w:r w:rsidR="00E71C64">
        <w:rPr>
          <w:rFonts w:eastAsia="Times New Roman" w:cstheme="minorHAnsi"/>
          <w:color w:val="000000"/>
          <w:lang w:eastAsia="es-CL"/>
        </w:rPr>
        <w:t xml:space="preserve">rabajo de la </w:t>
      </w:r>
      <w:r>
        <w:rPr>
          <w:rFonts w:eastAsia="Times New Roman" w:cstheme="minorHAnsi"/>
          <w:color w:val="000000"/>
          <w:lang w:eastAsia="es-CL"/>
        </w:rPr>
        <w:t>M</w:t>
      </w:r>
      <w:r w:rsidR="00E71C64">
        <w:rPr>
          <w:rFonts w:eastAsia="Times New Roman" w:cstheme="minorHAnsi"/>
          <w:color w:val="000000"/>
          <w:lang w:eastAsia="es-CL"/>
        </w:rPr>
        <w:t>ujer</w:t>
      </w:r>
      <w:r>
        <w:rPr>
          <w:rFonts w:eastAsia="Times New Roman" w:cstheme="minorHAnsi"/>
          <w:color w:val="000000"/>
          <w:lang w:eastAsia="es-CL"/>
        </w:rPr>
        <w:t xml:space="preserve">. Considerando exclusivamente los </w:t>
      </w:r>
      <w:r w:rsidR="00531BA9">
        <w:rPr>
          <w:rFonts w:eastAsia="Times New Roman" w:cstheme="minorHAnsi"/>
          <w:color w:val="000000"/>
          <w:lang w:eastAsia="es-CL"/>
        </w:rPr>
        <w:t>18</w:t>
      </w:r>
      <w:r>
        <w:rPr>
          <w:rFonts w:eastAsia="Times New Roman" w:cstheme="minorHAnsi"/>
          <w:color w:val="000000"/>
          <w:lang w:eastAsia="es-CL"/>
        </w:rPr>
        <w:t xml:space="preserve"> pagos de IFE</w:t>
      </w:r>
      <w:r w:rsidR="00217BBA">
        <w:rPr>
          <w:rFonts w:eastAsia="Times New Roman" w:cstheme="minorHAnsi"/>
          <w:color w:val="000000"/>
          <w:lang w:eastAsia="es-CL"/>
        </w:rPr>
        <w:t>,</w:t>
      </w:r>
      <w:r>
        <w:rPr>
          <w:rFonts w:eastAsia="Times New Roman" w:cstheme="minorHAnsi"/>
          <w:color w:val="000000"/>
          <w:lang w:eastAsia="es-CL"/>
        </w:rPr>
        <w:t xml:space="preserve"> a la fecha</w:t>
      </w:r>
      <w:r w:rsidR="0013070F">
        <w:rPr>
          <w:rFonts w:eastAsia="Times New Roman" w:cstheme="minorHAnsi"/>
          <w:color w:val="000000"/>
          <w:lang w:eastAsia="es-CL"/>
        </w:rPr>
        <w:t xml:space="preserve"> </w:t>
      </w:r>
      <w:r w:rsidRPr="00143B6A">
        <w:rPr>
          <w:rFonts w:eastAsia="Times New Roman" w:cstheme="minorHAnsi"/>
          <w:b/>
          <w:color w:val="000000"/>
          <w:lang w:eastAsia="es-CL"/>
        </w:rPr>
        <w:t xml:space="preserve">se han transferido US$ </w:t>
      </w:r>
      <w:r w:rsidR="00490050">
        <w:rPr>
          <w:rFonts w:eastAsia="Times New Roman" w:cstheme="minorHAnsi"/>
          <w:b/>
          <w:color w:val="000000"/>
          <w:lang w:eastAsia="es-CL"/>
        </w:rPr>
        <w:t>25.644</w:t>
      </w:r>
      <w:r w:rsidR="00692556">
        <w:rPr>
          <w:rFonts w:eastAsia="Times New Roman" w:cstheme="minorHAnsi"/>
          <w:b/>
          <w:color w:val="000000"/>
          <w:lang w:eastAsia="es-CL"/>
        </w:rPr>
        <w:t xml:space="preserve"> </w:t>
      </w:r>
      <w:r w:rsidRPr="00143B6A">
        <w:rPr>
          <w:rFonts w:eastAsia="Times New Roman" w:cstheme="minorHAnsi"/>
          <w:b/>
          <w:color w:val="000000"/>
          <w:lang w:eastAsia="es-CL"/>
        </w:rPr>
        <w:t>millones</w:t>
      </w:r>
      <w:r w:rsidR="0066573A">
        <w:rPr>
          <w:rStyle w:val="Refdenotaalpie"/>
          <w:rFonts w:eastAsia="Times New Roman" w:cstheme="minorHAnsi"/>
          <w:b/>
          <w:color w:val="000000"/>
          <w:lang w:eastAsia="es-CL"/>
        </w:rPr>
        <w:footnoteReference w:id="1"/>
      </w:r>
      <w:r w:rsidRPr="00143B6A">
        <w:rPr>
          <w:rFonts w:eastAsia="Times New Roman" w:cstheme="minorHAnsi"/>
          <w:b/>
          <w:color w:val="000000"/>
          <w:lang w:eastAsia="es-CL"/>
        </w:rPr>
        <w:t xml:space="preserve">, es decir, </w:t>
      </w:r>
      <w:r w:rsidR="00692556">
        <w:rPr>
          <w:rFonts w:eastAsia="Times New Roman" w:cstheme="minorHAnsi"/>
          <w:b/>
          <w:color w:val="000000"/>
          <w:lang w:eastAsia="es-CL"/>
        </w:rPr>
        <w:t xml:space="preserve">más de </w:t>
      </w:r>
      <w:r w:rsidR="00490050">
        <w:rPr>
          <w:rFonts w:eastAsia="Times New Roman" w:cstheme="minorHAnsi"/>
          <w:b/>
          <w:color w:val="000000"/>
          <w:lang w:eastAsia="es-CL"/>
        </w:rPr>
        <w:t>28</w:t>
      </w:r>
      <w:r w:rsidR="00490050" w:rsidRPr="00143B6A">
        <w:rPr>
          <w:rFonts w:eastAsia="Times New Roman" w:cstheme="minorHAnsi"/>
          <w:b/>
          <w:color w:val="000000"/>
          <w:lang w:eastAsia="es-CL"/>
        </w:rPr>
        <w:t xml:space="preserve"> </w:t>
      </w:r>
      <w:r w:rsidRPr="00143B6A">
        <w:rPr>
          <w:rFonts w:eastAsia="Times New Roman" w:cstheme="minorHAnsi"/>
          <w:b/>
          <w:color w:val="000000"/>
          <w:lang w:eastAsia="es-CL"/>
        </w:rPr>
        <w:t>veces el gasto de todas las transferencias de 2019 mencionadas</w:t>
      </w:r>
      <w:r w:rsidRPr="00143B6A">
        <w:rPr>
          <w:rFonts w:eastAsia="Times New Roman" w:cstheme="minorHAnsi"/>
          <w:color w:val="000000"/>
          <w:lang w:eastAsia="es-CL"/>
        </w:rPr>
        <w:t>.</w:t>
      </w:r>
      <w:r>
        <w:rPr>
          <w:rFonts w:eastAsia="Times New Roman" w:cstheme="minorHAnsi"/>
          <w:color w:val="000000"/>
          <w:lang w:eastAsia="es-CL"/>
        </w:rPr>
        <w:t xml:space="preserve"> </w:t>
      </w:r>
    </w:p>
    <w:p w14:paraId="05DBCD00" w14:textId="4A0BC711" w:rsidR="008D35B1" w:rsidRPr="008D35B1" w:rsidRDefault="00B93252" w:rsidP="008D35B1">
      <w:pPr>
        <w:spacing w:before="240" w:after="240" w:line="240" w:lineRule="auto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8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.- </w:t>
      </w:r>
      <w:r w:rsidR="000F0306">
        <w:rPr>
          <w:rFonts w:eastAsia="Times New Roman" w:cstheme="minorHAnsi"/>
          <w:b/>
          <w:bCs/>
          <w:color w:val="000000"/>
          <w:lang w:eastAsia="es-CL"/>
        </w:rPr>
        <w:t>Beneficio con</w:t>
      </w:r>
      <w:r w:rsidR="007E69B4">
        <w:rPr>
          <w:rFonts w:eastAsia="Times New Roman" w:cstheme="minorHAnsi"/>
          <w:color w:val="000000"/>
          <w:lang w:eastAsia="es-CL"/>
        </w:rPr>
        <w:t xml:space="preserve"> </w:t>
      </w:r>
      <w:r w:rsidR="007E69B4">
        <w:rPr>
          <w:rFonts w:eastAsia="Times New Roman" w:cstheme="minorHAnsi"/>
          <w:b/>
          <w:bCs/>
          <w:color w:val="000000"/>
          <w:lang w:eastAsia="es-CL"/>
        </w:rPr>
        <w:t>e</w:t>
      </w:r>
      <w:r w:rsidR="008D35B1" w:rsidRPr="008D35B1">
        <w:rPr>
          <w:rFonts w:eastAsia="Times New Roman" w:cstheme="minorHAnsi"/>
          <w:b/>
          <w:bCs/>
          <w:color w:val="000000"/>
          <w:lang w:eastAsia="es-CL"/>
        </w:rPr>
        <w:t>nfoque de género</w:t>
      </w:r>
      <w:r w:rsidR="008D35B1" w:rsidRPr="008D35B1">
        <w:rPr>
          <w:rFonts w:eastAsia="Times New Roman" w:cstheme="minorHAnsi"/>
          <w:color w:val="000000"/>
          <w:lang w:eastAsia="es-CL"/>
        </w:rPr>
        <w:t>: </w:t>
      </w:r>
      <w:r w:rsidR="008D35B1">
        <w:rPr>
          <w:rFonts w:eastAsia="Times New Roman" w:cstheme="minorHAnsi"/>
          <w:lang w:eastAsia="es-CL"/>
        </w:rPr>
        <w:t>e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ste es un apoyo que siempre ha llegado con especial fuerza a los hogares con jefatura femenina, quienes son parte de los grupos más afectados durante la pandemia. Lo que se ve reflejado </w:t>
      </w:r>
      <w:r w:rsidR="008D35B1" w:rsidRPr="008D35B1">
        <w:rPr>
          <w:rFonts w:eastAsia="Times New Roman" w:cstheme="minorHAnsi"/>
          <w:b/>
          <w:bCs/>
          <w:color w:val="000000"/>
          <w:lang w:eastAsia="es-CL"/>
        </w:rPr>
        <w:t xml:space="preserve">en que, en cada uno de los </w:t>
      </w:r>
      <w:r w:rsidR="00353A91">
        <w:rPr>
          <w:rFonts w:eastAsia="Times New Roman" w:cstheme="minorHAnsi"/>
          <w:b/>
          <w:bCs/>
          <w:color w:val="000000"/>
          <w:lang w:eastAsia="es-CL"/>
        </w:rPr>
        <w:t>18</w:t>
      </w:r>
      <w:r w:rsidR="00353A91" w:rsidRPr="008D35B1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="008D35B1" w:rsidRPr="008D35B1">
        <w:rPr>
          <w:rFonts w:eastAsia="Times New Roman" w:cstheme="minorHAnsi"/>
          <w:b/>
          <w:bCs/>
          <w:color w:val="000000"/>
          <w:lang w:eastAsia="es-CL"/>
        </w:rPr>
        <w:t xml:space="preserve">aportes del IFE a la fecha, </w:t>
      </w:r>
      <w:r w:rsidR="00930983">
        <w:rPr>
          <w:rFonts w:eastAsia="Times New Roman" w:cstheme="minorHAnsi"/>
          <w:b/>
          <w:bCs/>
          <w:color w:val="000000"/>
          <w:lang w:eastAsia="es-CL"/>
        </w:rPr>
        <w:t>más</w:t>
      </w:r>
      <w:r w:rsidR="00930983" w:rsidRPr="008D35B1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="008D35B1" w:rsidRPr="00092EC8">
        <w:rPr>
          <w:rFonts w:eastAsia="Times New Roman" w:cstheme="minorHAnsi"/>
          <w:b/>
          <w:bCs/>
          <w:color w:val="000000"/>
          <w:lang w:eastAsia="es-CL"/>
        </w:rPr>
        <w:t>de u</w:t>
      </w:r>
      <w:r w:rsidR="008D35B1" w:rsidRPr="000E2567">
        <w:rPr>
          <w:rFonts w:eastAsia="Times New Roman" w:cstheme="minorHAnsi"/>
          <w:b/>
          <w:bCs/>
          <w:color w:val="000000"/>
          <w:lang w:eastAsia="es-CL"/>
        </w:rPr>
        <w:t xml:space="preserve">n </w:t>
      </w:r>
      <w:r w:rsidR="00930983">
        <w:rPr>
          <w:rFonts w:eastAsia="Times New Roman" w:cstheme="minorHAnsi"/>
          <w:b/>
          <w:bCs/>
          <w:color w:val="000000"/>
          <w:lang w:eastAsia="es-CL"/>
        </w:rPr>
        <w:t>5</w:t>
      </w:r>
      <w:r w:rsidR="00930983" w:rsidRPr="000E2567">
        <w:rPr>
          <w:rFonts w:eastAsia="Times New Roman" w:cstheme="minorHAnsi"/>
          <w:b/>
          <w:bCs/>
          <w:color w:val="000000"/>
          <w:lang w:eastAsia="es-CL"/>
        </w:rPr>
        <w:t>0</w:t>
      </w:r>
      <w:r w:rsidR="008D35B1" w:rsidRPr="000E2567">
        <w:rPr>
          <w:rFonts w:eastAsia="Times New Roman" w:cstheme="minorHAnsi"/>
          <w:b/>
          <w:bCs/>
          <w:color w:val="000000"/>
          <w:lang w:eastAsia="es-CL"/>
        </w:rPr>
        <w:t>%</w:t>
      </w:r>
      <w:r w:rsidR="008D35B1" w:rsidRPr="00092EC8">
        <w:rPr>
          <w:rFonts w:eastAsia="Times New Roman" w:cstheme="minorHAnsi"/>
          <w:b/>
          <w:bCs/>
          <w:color w:val="000000"/>
          <w:lang w:eastAsia="es-CL"/>
        </w:rPr>
        <w:t xml:space="preserve"> de los hogares beneficiados son liderados por mujeres.</w:t>
      </w:r>
    </w:p>
    <w:p w14:paraId="5C543CF5" w14:textId="4CACE64D" w:rsidR="008D35B1" w:rsidRPr="008D35B1" w:rsidRDefault="008D35B1" w:rsidP="008D35B1">
      <w:pPr>
        <w:spacing w:before="240" w:after="240" w:line="240" w:lineRule="auto"/>
        <w:jc w:val="both"/>
        <w:rPr>
          <w:rFonts w:eastAsia="Times New Roman" w:cstheme="minorHAnsi"/>
          <w:lang w:eastAsia="es-CL"/>
        </w:rPr>
      </w:pPr>
      <w:r w:rsidRPr="008D35B1">
        <w:rPr>
          <w:rFonts w:eastAsia="Times New Roman" w:cstheme="minorHAnsi"/>
          <w:color w:val="000000"/>
          <w:lang w:eastAsia="es-CL"/>
        </w:rPr>
        <w:t xml:space="preserve">En el caso de </w:t>
      </w:r>
      <w:r w:rsidR="003A7510">
        <w:rPr>
          <w:rFonts w:eastAsia="Times New Roman" w:cstheme="minorHAnsi"/>
          <w:color w:val="000000"/>
          <w:lang w:eastAsia="es-CL"/>
        </w:rPr>
        <w:t xml:space="preserve">los beneficiarios del </w:t>
      </w:r>
      <w:r>
        <w:rPr>
          <w:rFonts w:eastAsia="Times New Roman" w:cstheme="minorHAnsi"/>
          <w:color w:val="000000"/>
          <w:lang w:eastAsia="es-CL"/>
        </w:rPr>
        <w:t xml:space="preserve">último </w:t>
      </w:r>
      <w:r w:rsidRPr="008D35B1">
        <w:rPr>
          <w:rFonts w:eastAsia="Times New Roman" w:cstheme="minorHAnsi"/>
          <w:color w:val="000000"/>
          <w:lang w:eastAsia="es-CL"/>
        </w:rPr>
        <w:t>aporte</w:t>
      </w:r>
      <w:r>
        <w:rPr>
          <w:rFonts w:eastAsia="Times New Roman" w:cstheme="minorHAnsi"/>
          <w:color w:val="000000"/>
          <w:lang w:eastAsia="es-CL"/>
        </w:rPr>
        <w:t xml:space="preserve">, </w:t>
      </w:r>
      <w:r w:rsidR="003A7510">
        <w:rPr>
          <w:rFonts w:eastAsia="Times New Roman" w:cstheme="minorHAnsi"/>
          <w:color w:val="000000"/>
          <w:lang w:eastAsia="es-CL"/>
        </w:rPr>
        <w:t>el</w:t>
      </w:r>
      <w:r>
        <w:rPr>
          <w:rFonts w:eastAsia="Times New Roman" w:cstheme="minorHAnsi"/>
          <w:color w:val="000000"/>
          <w:lang w:eastAsia="es-CL"/>
        </w:rPr>
        <w:t xml:space="preserve"> IFE </w:t>
      </w:r>
      <w:r w:rsidR="00FB22DE">
        <w:rPr>
          <w:rFonts w:eastAsia="Times New Roman" w:cstheme="minorHAnsi"/>
          <w:color w:val="000000"/>
          <w:lang w:eastAsia="es-CL"/>
        </w:rPr>
        <w:t xml:space="preserve">Universal </w:t>
      </w:r>
      <w:r w:rsidRPr="008D35B1">
        <w:rPr>
          <w:rFonts w:eastAsia="Times New Roman" w:cstheme="minorHAnsi"/>
          <w:color w:val="000000"/>
          <w:lang w:eastAsia="es-CL"/>
        </w:rPr>
        <w:t>de</w:t>
      </w:r>
      <w:r w:rsidR="00D0220B">
        <w:rPr>
          <w:rFonts w:eastAsia="Times New Roman" w:cstheme="minorHAnsi"/>
          <w:color w:val="000000"/>
          <w:lang w:eastAsia="es-CL"/>
        </w:rPr>
        <w:t xml:space="preserve"> </w:t>
      </w:r>
      <w:r w:rsidR="00355612">
        <w:rPr>
          <w:rFonts w:eastAsia="Times New Roman" w:cstheme="minorHAnsi"/>
          <w:color w:val="000000"/>
          <w:lang w:eastAsia="es-CL"/>
        </w:rPr>
        <w:t>noviembre</w:t>
      </w:r>
      <w:r w:rsidR="00CB63CD">
        <w:rPr>
          <w:rFonts w:eastAsia="Times New Roman" w:cstheme="minorHAnsi"/>
          <w:color w:val="000000"/>
          <w:lang w:eastAsia="es-CL"/>
        </w:rPr>
        <w:t xml:space="preserve"> </w:t>
      </w:r>
      <w:r w:rsidR="00391E4F">
        <w:rPr>
          <w:rFonts w:eastAsia="Times New Roman" w:cstheme="minorHAnsi"/>
          <w:color w:val="000000"/>
          <w:lang w:eastAsia="es-CL"/>
        </w:rPr>
        <w:t xml:space="preserve">de </w:t>
      </w:r>
      <w:r w:rsidRPr="008D35B1">
        <w:rPr>
          <w:rFonts w:eastAsia="Times New Roman" w:cstheme="minorHAnsi"/>
          <w:color w:val="000000"/>
          <w:lang w:eastAsia="es-CL"/>
        </w:rPr>
        <w:t>2021</w:t>
      </w:r>
      <w:r w:rsidR="00D06CB8">
        <w:rPr>
          <w:rFonts w:eastAsia="Times New Roman" w:cstheme="minorHAnsi"/>
          <w:color w:val="000000"/>
          <w:lang w:eastAsia="es-CL"/>
        </w:rPr>
        <w:t>,</w:t>
      </w:r>
      <w:r w:rsidR="003A7510">
        <w:rPr>
          <w:rFonts w:eastAsia="Times New Roman" w:cstheme="minorHAnsi"/>
          <w:color w:val="000000"/>
          <w:lang w:eastAsia="es-CL"/>
        </w:rPr>
        <w:t xml:space="preserve"> </w:t>
      </w:r>
      <w:r w:rsidR="00677CA4">
        <w:rPr>
          <w:rFonts w:eastAsia="Times New Roman" w:cstheme="minorHAnsi"/>
          <w:color w:val="000000"/>
          <w:lang w:eastAsia="es-CL"/>
        </w:rPr>
        <w:t xml:space="preserve">se </w:t>
      </w:r>
      <w:r w:rsidR="003A7510">
        <w:rPr>
          <w:rFonts w:eastAsia="Times New Roman" w:cstheme="minorHAnsi"/>
          <w:color w:val="000000"/>
          <w:lang w:eastAsia="es-CL"/>
        </w:rPr>
        <w:t>muestra que</w:t>
      </w:r>
      <w:r w:rsidRPr="008D35B1">
        <w:rPr>
          <w:rFonts w:eastAsia="Times New Roman" w:cstheme="minorHAnsi"/>
          <w:color w:val="000000"/>
          <w:lang w:eastAsia="es-CL"/>
        </w:rPr>
        <w:t xml:space="preserve"> </w:t>
      </w:r>
      <w:r w:rsidR="00D2663F">
        <w:rPr>
          <w:rFonts w:eastAsia="Times New Roman" w:cstheme="minorHAnsi"/>
          <w:color w:val="000000"/>
          <w:lang w:eastAsia="es-CL"/>
        </w:rPr>
        <w:t>4</w:t>
      </w:r>
      <w:r w:rsidR="00A62AFC">
        <w:rPr>
          <w:rFonts w:eastAsia="Times New Roman" w:cstheme="minorHAnsi"/>
          <w:color w:val="000000"/>
          <w:lang w:eastAsia="es-CL"/>
        </w:rPr>
        <w:t>,</w:t>
      </w:r>
      <w:r w:rsidR="00EB1AFE">
        <w:rPr>
          <w:rFonts w:eastAsia="Times New Roman" w:cstheme="minorHAnsi"/>
          <w:color w:val="000000"/>
          <w:lang w:eastAsia="es-CL"/>
        </w:rPr>
        <w:t>4</w:t>
      </w:r>
      <w:r w:rsidR="00766237" w:rsidRPr="00766237">
        <w:rPr>
          <w:rFonts w:eastAsia="Times New Roman" w:cstheme="minorHAnsi"/>
          <w:color w:val="000000"/>
          <w:lang w:eastAsia="es-CL"/>
        </w:rPr>
        <w:t xml:space="preserve"> </w:t>
      </w:r>
      <w:r w:rsidRPr="00766237">
        <w:rPr>
          <w:rFonts w:eastAsia="Times New Roman" w:cstheme="minorHAnsi"/>
          <w:color w:val="000000"/>
          <w:lang w:eastAsia="es-CL"/>
        </w:rPr>
        <w:t>millones de mujeres jefas de hogar fueron beneficiarias (</w:t>
      </w:r>
      <w:r w:rsidR="00640049">
        <w:rPr>
          <w:rFonts w:eastAsia="Times New Roman" w:cstheme="minorHAnsi"/>
          <w:color w:val="000000"/>
          <w:lang w:eastAsia="es-CL"/>
        </w:rPr>
        <w:t>5</w:t>
      </w:r>
      <w:r w:rsidR="00EB1AFE">
        <w:rPr>
          <w:rFonts w:eastAsia="Times New Roman" w:cstheme="minorHAnsi"/>
          <w:color w:val="000000"/>
          <w:lang w:eastAsia="es-CL"/>
        </w:rPr>
        <w:t>3,</w:t>
      </w:r>
      <w:r w:rsidR="00595857">
        <w:rPr>
          <w:rFonts w:eastAsia="Times New Roman" w:cstheme="minorHAnsi"/>
          <w:color w:val="000000"/>
          <w:lang w:eastAsia="es-CL"/>
        </w:rPr>
        <w:t>2</w:t>
      </w:r>
      <w:r w:rsidR="00640049">
        <w:rPr>
          <w:rFonts w:eastAsia="Times New Roman" w:cstheme="minorHAnsi"/>
          <w:color w:val="000000"/>
          <w:lang w:eastAsia="es-CL"/>
        </w:rPr>
        <w:t xml:space="preserve"> </w:t>
      </w:r>
      <w:r w:rsidRPr="00766237">
        <w:rPr>
          <w:rFonts w:eastAsia="Times New Roman" w:cstheme="minorHAnsi"/>
          <w:color w:val="000000"/>
          <w:lang w:eastAsia="es-CL"/>
        </w:rPr>
        <w:t>% del total de hogares beneficiados)</w:t>
      </w:r>
      <w:r w:rsidR="00C356C3" w:rsidRPr="00766237">
        <w:rPr>
          <w:rFonts w:eastAsia="Times New Roman" w:cstheme="minorHAnsi"/>
          <w:color w:val="000000"/>
          <w:lang w:eastAsia="es-CL"/>
        </w:rPr>
        <w:t>.</w:t>
      </w:r>
    </w:p>
    <w:p w14:paraId="26B3798B" w14:textId="0EBC3320" w:rsidR="008D35B1" w:rsidRPr="008D35B1" w:rsidRDefault="00B93252" w:rsidP="008D35B1">
      <w:pPr>
        <w:spacing w:before="240" w:after="240" w:line="240" w:lineRule="auto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9</w:t>
      </w:r>
      <w:r w:rsidR="008D35B1" w:rsidRPr="008D35B1">
        <w:rPr>
          <w:rFonts w:eastAsia="Times New Roman" w:cstheme="minorHAnsi"/>
          <w:color w:val="000000"/>
          <w:lang w:eastAsia="es-CL"/>
        </w:rPr>
        <w:t>.-</w:t>
      </w:r>
      <w:r w:rsidR="007318D0">
        <w:rPr>
          <w:rFonts w:eastAsia="Times New Roman" w:cstheme="minorHAnsi"/>
          <w:color w:val="000000"/>
          <w:lang w:eastAsia="es-CL"/>
        </w:rPr>
        <w:t xml:space="preserve"> 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>Importan</w:t>
      </w:r>
      <w:r w:rsidR="00217BBA">
        <w:rPr>
          <w:rFonts w:eastAsia="Times New Roman" w:cstheme="minorHAnsi"/>
          <w:b/>
          <w:color w:val="000000"/>
          <w:lang w:eastAsia="es-CL"/>
        </w:rPr>
        <w:t>te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 xml:space="preserve"> llegada a regiones, descentralización</w:t>
      </w:r>
      <w:r w:rsidR="007318D0">
        <w:rPr>
          <w:rFonts w:eastAsia="Times New Roman" w:cstheme="minorHAnsi"/>
          <w:color w:val="000000"/>
          <w:lang w:eastAsia="es-CL"/>
        </w:rPr>
        <w:t>: e</w:t>
      </w:r>
      <w:r w:rsidR="008D35B1" w:rsidRPr="008D35B1">
        <w:rPr>
          <w:rFonts w:eastAsia="Times New Roman" w:cstheme="minorHAnsi"/>
          <w:color w:val="000000"/>
          <w:lang w:eastAsia="es-CL"/>
        </w:rPr>
        <w:t>n</w:t>
      </w:r>
      <w:r w:rsidR="003A7510">
        <w:rPr>
          <w:rFonts w:eastAsia="Times New Roman" w:cstheme="minorHAnsi"/>
          <w:color w:val="000000"/>
          <w:lang w:eastAsia="es-CL"/>
        </w:rPr>
        <w:t xml:space="preserve"> el caso de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 </w:t>
      </w:r>
      <w:r w:rsidR="003A7510">
        <w:rPr>
          <w:rFonts w:eastAsia="Times New Roman" w:cstheme="minorHAnsi"/>
          <w:color w:val="000000"/>
          <w:lang w:eastAsia="es-CL"/>
        </w:rPr>
        <w:t xml:space="preserve">los beneficiarios </w:t>
      </w:r>
      <w:r w:rsidR="00197ABD">
        <w:rPr>
          <w:rFonts w:eastAsia="Times New Roman" w:cstheme="minorHAnsi"/>
          <w:color w:val="000000"/>
          <w:lang w:eastAsia="es-CL"/>
        </w:rPr>
        <w:t xml:space="preserve">del 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último pago de IFE </w:t>
      </w:r>
      <w:r w:rsidR="003F7549">
        <w:rPr>
          <w:rFonts w:eastAsia="Times New Roman" w:cstheme="minorHAnsi"/>
          <w:color w:val="000000"/>
          <w:lang w:eastAsia="es-CL"/>
        </w:rPr>
        <w:t xml:space="preserve">Universal de </w:t>
      </w:r>
      <w:r w:rsidR="00355612">
        <w:rPr>
          <w:rFonts w:eastAsia="Times New Roman" w:cstheme="minorHAnsi"/>
          <w:color w:val="000000"/>
          <w:lang w:eastAsia="es-CL"/>
        </w:rPr>
        <w:t>noviembre</w:t>
      </w:r>
      <w:r w:rsidR="008D2F61">
        <w:rPr>
          <w:rFonts w:eastAsia="Times New Roman" w:cstheme="minorHAnsi"/>
          <w:color w:val="000000"/>
          <w:lang w:eastAsia="es-CL"/>
        </w:rPr>
        <w:t xml:space="preserve"> </w:t>
      </w:r>
      <w:r w:rsidR="00E04669">
        <w:rPr>
          <w:rFonts w:eastAsia="Times New Roman" w:cstheme="minorHAnsi"/>
          <w:color w:val="000000"/>
          <w:lang w:eastAsia="es-CL"/>
        </w:rPr>
        <w:t>de</w:t>
      </w:r>
      <w:r w:rsidR="002A06A8" w:rsidRPr="008D35B1">
        <w:rPr>
          <w:rFonts w:eastAsia="Times New Roman" w:cstheme="minorHAnsi"/>
          <w:color w:val="000000"/>
          <w:lang w:eastAsia="es-CL"/>
        </w:rPr>
        <w:t xml:space="preserve"> 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2021, </w:t>
      </w:r>
      <w:r w:rsidR="008D35B1" w:rsidRPr="00197ABD">
        <w:rPr>
          <w:rFonts w:eastAsia="Times New Roman" w:cstheme="minorHAnsi"/>
          <w:b/>
          <w:bCs/>
          <w:color w:val="000000"/>
          <w:lang w:eastAsia="es-CL"/>
        </w:rPr>
        <w:t xml:space="preserve">el </w:t>
      </w:r>
      <w:r w:rsidR="00390457" w:rsidRPr="00197ABD">
        <w:rPr>
          <w:rFonts w:eastAsia="Times New Roman" w:cstheme="minorHAnsi"/>
          <w:b/>
          <w:bCs/>
          <w:color w:val="000000"/>
          <w:lang w:eastAsia="es-CL"/>
        </w:rPr>
        <w:t>6</w:t>
      </w:r>
      <w:r w:rsidR="004934BE">
        <w:rPr>
          <w:rFonts w:eastAsia="Times New Roman" w:cstheme="minorHAnsi"/>
          <w:b/>
          <w:bCs/>
          <w:color w:val="000000"/>
          <w:lang w:eastAsia="es-CL"/>
        </w:rPr>
        <w:t>1</w:t>
      </w:r>
      <w:r w:rsidR="00197ABD" w:rsidRPr="0098246A">
        <w:rPr>
          <w:rFonts w:eastAsia="Times New Roman" w:cstheme="minorHAnsi"/>
          <w:b/>
          <w:bCs/>
          <w:color w:val="000000"/>
          <w:lang w:eastAsia="es-CL"/>
        </w:rPr>
        <w:t>,</w:t>
      </w:r>
      <w:r w:rsidR="00DA1862">
        <w:rPr>
          <w:rFonts w:eastAsia="Times New Roman" w:cstheme="minorHAnsi"/>
          <w:b/>
          <w:bCs/>
          <w:color w:val="000000"/>
          <w:lang w:eastAsia="es-CL"/>
        </w:rPr>
        <w:t>3</w:t>
      </w:r>
      <w:r w:rsidR="008D35B1" w:rsidRPr="00197ABD">
        <w:rPr>
          <w:rFonts w:eastAsia="Times New Roman" w:cstheme="minorHAnsi"/>
          <w:b/>
          <w:bCs/>
          <w:color w:val="000000"/>
          <w:lang w:eastAsia="es-CL"/>
        </w:rPr>
        <w:t>% de los hogares beneficiados corresponden a hogares que viven en regiones</w:t>
      </w:r>
      <w:r w:rsidR="008D35B1" w:rsidRPr="00197ABD">
        <w:rPr>
          <w:rFonts w:eastAsia="Times New Roman" w:cstheme="minorHAnsi"/>
          <w:color w:val="000000"/>
          <w:lang w:eastAsia="es-CL"/>
        </w:rPr>
        <w:t>. Esta tendencia ha sido similar en cada uno de los aportes del IFE, en los que aproximadamente el 65% de los hogares beneficiados corresponden a hogares que viven en regiones.</w:t>
      </w:r>
    </w:p>
    <w:p w14:paraId="4E4A8A9C" w14:textId="77777777" w:rsidR="008D35B1" w:rsidRPr="008D35B1" w:rsidRDefault="008D35B1" w:rsidP="008D35B1">
      <w:pPr>
        <w:spacing w:before="240" w:after="240" w:line="240" w:lineRule="auto"/>
        <w:jc w:val="both"/>
        <w:rPr>
          <w:rFonts w:eastAsia="Times New Roman" w:cstheme="minorHAnsi"/>
          <w:lang w:eastAsia="es-CL"/>
        </w:rPr>
      </w:pPr>
      <w:r w:rsidRPr="008D35B1">
        <w:rPr>
          <w:rFonts w:eastAsia="Times New Roman" w:cstheme="minorHAnsi"/>
          <w:color w:val="000000"/>
          <w:lang w:eastAsia="es-CL"/>
        </w:rPr>
        <w:t>Desde el inicio de la implementación del IFE, el Ministerio de Desarrollo Social y Familia ha realizado diversas</w:t>
      </w:r>
      <w:r w:rsidRPr="008D35B1">
        <w:rPr>
          <w:rFonts w:eastAsia="Times New Roman" w:cstheme="minorHAnsi"/>
          <w:b/>
          <w:bCs/>
          <w:color w:val="000000"/>
          <w:lang w:eastAsia="es-CL"/>
        </w:rPr>
        <w:t xml:space="preserve"> capacitaciones a los equipos territoriales de parlamentarios de todos los colores políticos, como también a los equipos y autoridades municipales de todas las regiones del país</w:t>
      </w:r>
      <w:r w:rsidRPr="008D35B1">
        <w:rPr>
          <w:rFonts w:eastAsia="Times New Roman" w:cstheme="minorHAnsi"/>
          <w:color w:val="000000"/>
          <w:lang w:eastAsia="es-CL"/>
        </w:rPr>
        <w:t>. Así, en cada capacitación se buscó dar mayor difusión para llegar hasta los últimos rincones del país y también, resolver dudas y problemas que los equipos territoriales iban observando a lo largo de la implementación del beneficio. </w:t>
      </w:r>
    </w:p>
    <w:p w14:paraId="3F355178" w14:textId="6D37962C" w:rsidR="006671AA" w:rsidRDefault="00B93252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 w:rsidRPr="006F1EF4">
        <w:rPr>
          <w:rFonts w:eastAsia="Times New Roman" w:cstheme="minorHAnsi"/>
          <w:color w:val="000000"/>
          <w:lang w:eastAsia="es-CL"/>
        </w:rPr>
        <w:t>10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>.- Apoyo a hogares con adultos mayores</w:t>
      </w:r>
      <w:r w:rsidR="006F1EF4" w:rsidRPr="006F1EF4">
        <w:rPr>
          <w:rFonts w:eastAsia="Times New Roman" w:cstheme="minorHAnsi"/>
          <w:color w:val="000000"/>
          <w:lang w:eastAsia="es-CL"/>
        </w:rPr>
        <w:t xml:space="preserve">: </w:t>
      </w:r>
      <w:r w:rsidR="006F1EF4" w:rsidRPr="00823B64">
        <w:rPr>
          <w:rFonts w:eastAsia="Times New Roman" w:cstheme="minorHAnsi"/>
          <w:color w:val="000000"/>
          <w:lang w:eastAsia="es-CL"/>
        </w:rPr>
        <w:t xml:space="preserve">dentro del IFE 2020 se estableció como beneficiarios a los pensionados con PBS o con APS con pensión total igual o menor a la PBS, con lo que en el sexto aporte </w:t>
      </w:r>
      <w:r w:rsidR="006F1EF4" w:rsidRPr="00823B64">
        <w:rPr>
          <w:rFonts w:eastAsia="Times New Roman" w:cstheme="minorHAnsi"/>
          <w:b/>
          <w:color w:val="000000"/>
          <w:lang w:eastAsia="es-CL"/>
        </w:rPr>
        <w:t>se benefició a 5</w:t>
      </w:r>
      <w:r w:rsidR="00F1611E">
        <w:rPr>
          <w:rFonts w:eastAsia="Times New Roman" w:cstheme="minorHAnsi"/>
          <w:b/>
          <w:color w:val="000000"/>
          <w:lang w:eastAsia="es-CL"/>
        </w:rPr>
        <w:t>32.377</w:t>
      </w:r>
      <w:r w:rsidR="006F1EF4" w:rsidRPr="00823B64">
        <w:rPr>
          <w:rFonts w:eastAsia="Times New Roman" w:cstheme="minorHAnsi"/>
          <w:b/>
          <w:color w:val="000000"/>
          <w:lang w:eastAsia="es-CL"/>
        </w:rPr>
        <w:t xml:space="preserve"> hogares por el hecho de tener pensionados</w:t>
      </w:r>
      <w:r w:rsidR="006F1EF4" w:rsidRPr="00823B64">
        <w:rPr>
          <w:rFonts w:eastAsia="Times New Roman" w:cstheme="minorHAnsi"/>
          <w:color w:val="000000"/>
          <w:lang w:eastAsia="es-CL"/>
        </w:rPr>
        <w:t>. Además, por el hecho</w:t>
      </w:r>
      <w:r w:rsidR="006F1EF4">
        <w:rPr>
          <w:rFonts w:eastAsia="Times New Roman" w:cstheme="minorHAnsi"/>
          <w:color w:val="000000"/>
          <w:lang w:eastAsia="es-CL"/>
        </w:rPr>
        <w:t xml:space="preserve"> de haber sido beneficiados del sexto aporte, estos hogares </w:t>
      </w:r>
      <w:r w:rsidR="00217BBA">
        <w:rPr>
          <w:rFonts w:eastAsia="Times New Roman" w:cstheme="minorHAnsi"/>
          <w:color w:val="000000"/>
          <w:lang w:eastAsia="es-CL"/>
        </w:rPr>
        <w:t xml:space="preserve">seguirán siendo </w:t>
      </w:r>
      <w:r w:rsidR="006F1EF4">
        <w:rPr>
          <w:rFonts w:eastAsia="Times New Roman" w:cstheme="minorHAnsi"/>
          <w:color w:val="000000"/>
          <w:lang w:eastAsia="es-CL"/>
        </w:rPr>
        <w:t xml:space="preserve">beneficiados con el IFE </w:t>
      </w:r>
      <w:r w:rsidR="00217BBA">
        <w:rPr>
          <w:rFonts w:eastAsia="Times New Roman" w:cstheme="minorHAnsi"/>
          <w:color w:val="000000"/>
          <w:lang w:eastAsia="es-CL"/>
        </w:rPr>
        <w:t>mientras dure</w:t>
      </w:r>
      <w:r w:rsidR="0097611B">
        <w:rPr>
          <w:rFonts w:eastAsia="Times New Roman" w:cstheme="minorHAnsi"/>
          <w:color w:val="000000"/>
          <w:lang w:eastAsia="es-CL"/>
        </w:rPr>
        <w:t>.</w:t>
      </w:r>
      <w:r w:rsidR="003A7510">
        <w:rPr>
          <w:rFonts w:eastAsia="Times New Roman" w:cstheme="minorHAnsi"/>
          <w:color w:val="000000"/>
          <w:lang w:eastAsia="es-CL"/>
        </w:rPr>
        <w:t xml:space="preserve"> </w:t>
      </w:r>
    </w:p>
    <w:p w14:paraId="1CB45698" w14:textId="18E764D5" w:rsidR="006F1EF4" w:rsidRPr="008D35B1" w:rsidRDefault="006671AA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Lo anterior</w:t>
      </w:r>
      <w:r w:rsidR="003A7510">
        <w:rPr>
          <w:rFonts w:eastAsia="Times New Roman" w:cstheme="minorHAnsi"/>
          <w:color w:val="000000"/>
          <w:lang w:eastAsia="es-CL"/>
        </w:rPr>
        <w:t>, sumado a</w:t>
      </w:r>
      <w:r w:rsidR="00F14123">
        <w:rPr>
          <w:rFonts w:eastAsia="Times New Roman" w:cstheme="minorHAnsi"/>
          <w:color w:val="000000"/>
          <w:lang w:eastAsia="es-CL"/>
        </w:rPr>
        <w:t>l cambio de</w:t>
      </w:r>
      <w:r w:rsidR="003A7510">
        <w:rPr>
          <w:rFonts w:eastAsia="Times New Roman" w:cstheme="minorHAnsi"/>
          <w:color w:val="000000"/>
          <w:lang w:eastAsia="es-CL"/>
        </w:rPr>
        <w:t xml:space="preserve"> requisito de ingresos </w:t>
      </w:r>
      <w:r w:rsidR="00FD3098">
        <w:rPr>
          <w:rFonts w:eastAsia="Times New Roman" w:cstheme="minorHAnsi"/>
          <w:color w:val="000000"/>
          <w:lang w:eastAsia="es-CL"/>
        </w:rPr>
        <w:t xml:space="preserve">a partir del </w:t>
      </w:r>
      <w:r w:rsidR="003A7510">
        <w:rPr>
          <w:rFonts w:eastAsia="Times New Roman" w:cstheme="minorHAnsi"/>
          <w:color w:val="000000"/>
          <w:lang w:eastAsia="es-CL"/>
        </w:rPr>
        <w:t>IFE</w:t>
      </w:r>
      <w:r w:rsidR="00F14123">
        <w:rPr>
          <w:rFonts w:eastAsia="Times New Roman" w:cstheme="minorHAnsi"/>
          <w:color w:val="000000"/>
          <w:lang w:eastAsia="es-CL"/>
        </w:rPr>
        <w:t xml:space="preserve"> Universal</w:t>
      </w:r>
      <w:r w:rsidR="003A7510">
        <w:rPr>
          <w:rFonts w:eastAsia="Times New Roman" w:cstheme="minorHAnsi"/>
          <w:color w:val="000000"/>
          <w:lang w:eastAsia="es-CL"/>
        </w:rPr>
        <w:t xml:space="preserve"> de </w:t>
      </w:r>
      <w:r w:rsidR="00F14123">
        <w:rPr>
          <w:rFonts w:eastAsia="Times New Roman" w:cstheme="minorHAnsi"/>
          <w:color w:val="000000"/>
          <w:lang w:eastAsia="es-CL"/>
        </w:rPr>
        <w:t xml:space="preserve">junio </w:t>
      </w:r>
      <w:r w:rsidR="003A7510">
        <w:rPr>
          <w:rFonts w:eastAsia="Times New Roman" w:cstheme="minorHAnsi"/>
          <w:color w:val="000000"/>
          <w:lang w:eastAsia="es-CL"/>
        </w:rPr>
        <w:t xml:space="preserve">2021 </w:t>
      </w:r>
      <w:r w:rsidR="00E8701A">
        <w:rPr>
          <w:rFonts w:eastAsia="Times New Roman" w:cstheme="minorHAnsi"/>
          <w:color w:val="000000"/>
          <w:lang w:eastAsia="es-CL"/>
        </w:rPr>
        <w:t xml:space="preserve">y la extensión </w:t>
      </w:r>
      <w:r w:rsidR="00F14123">
        <w:rPr>
          <w:rFonts w:eastAsia="Times New Roman" w:cstheme="minorHAnsi"/>
          <w:color w:val="000000"/>
          <w:lang w:eastAsia="es-CL"/>
        </w:rPr>
        <w:t>a todo e</w:t>
      </w:r>
      <w:r w:rsidR="00E8701A">
        <w:rPr>
          <w:rFonts w:eastAsia="Times New Roman" w:cstheme="minorHAnsi"/>
          <w:color w:val="000000"/>
          <w:lang w:eastAsia="es-CL"/>
        </w:rPr>
        <w:t xml:space="preserve">l RSH ha llevado a </w:t>
      </w:r>
      <w:r w:rsidR="003A7510">
        <w:rPr>
          <w:rFonts w:eastAsia="Times New Roman" w:cstheme="minorHAnsi"/>
          <w:color w:val="000000"/>
          <w:lang w:eastAsia="es-CL"/>
        </w:rPr>
        <w:t>un aumento sustancial de los adultos mayores beneficiados del IFE. Datos del IFE</w:t>
      </w:r>
      <w:r w:rsidR="00DC5917">
        <w:rPr>
          <w:rFonts w:eastAsia="Times New Roman" w:cstheme="minorHAnsi"/>
          <w:color w:val="000000"/>
          <w:lang w:eastAsia="es-CL"/>
        </w:rPr>
        <w:t xml:space="preserve"> Universal</w:t>
      </w:r>
      <w:r w:rsidR="006B6C9D">
        <w:rPr>
          <w:rFonts w:eastAsia="Times New Roman" w:cstheme="minorHAnsi"/>
          <w:color w:val="000000"/>
          <w:lang w:eastAsia="es-CL"/>
        </w:rPr>
        <w:t xml:space="preserve"> de</w:t>
      </w:r>
      <w:r w:rsidR="00F14123">
        <w:rPr>
          <w:rFonts w:eastAsia="Times New Roman" w:cstheme="minorHAnsi"/>
          <w:color w:val="000000"/>
          <w:lang w:eastAsia="es-CL"/>
        </w:rPr>
        <w:t xml:space="preserve"> </w:t>
      </w:r>
      <w:r w:rsidR="00355612">
        <w:rPr>
          <w:rFonts w:eastAsia="Times New Roman" w:cstheme="minorHAnsi"/>
          <w:color w:val="000000"/>
          <w:lang w:eastAsia="es-CL"/>
        </w:rPr>
        <w:t>noviembre</w:t>
      </w:r>
      <w:r w:rsidR="006A023C">
        <w:rPr>
          <w:rFonts w:eastAsia="Times New Roman" w:cstheme="minorHAnsi"/>
          <w:color w:val="000000"/>
          <w:lang w:eastAsia="es-CL"/>
        </w:rPr>
        <w:t xml:space="preserve"> de</w:t>
      </w:r>
      <w:r w:rsidR="001A3EDD">
        <w:rPr>
          <w:rFonts w:eastAsia="Times New Roman" w:cstheme="minorHAnsi"/>
          <w:color w:val="000000"/>
          <w:lang w:eastAsia="es-CL"/>
        </w:rPr>
        <w:t xml:space="preserve"> </w:t>
      </w:r>
      <w:r w:rsidR="003A7510">
        <w:rPr>
          <w:rFonts w:eastAsia="Times New Roman" w:cstheme="minorHAnsi"/>
          <w:color w:val="000000"/>
          <w:lang w:eastAsia="es-CL"/>
        </w:rPr>
        <w:t>2021 muestra</w:t>
      </w:r>
      <w:r>
        <w:rPr>
          <w:rFonts w:eastAsia="Times New Roman" w:cstheme="minorHAnsi"/>
          <w:color w:val="000000"/>
          <w:lang w:eastAsia="es-CL"/>
        </w:rPr>
        <w:t>n</w:t>
      </w:r>
      <w:r w:rsidR="003A7510">
        <w:rPr>
          <w:rFonts w:eastAsia="Times New Roman" w:cstheme="minorHAnsi"/>
          <w:color w:val="000000"/>
          <w:lang w:eastAsia="es-CL"/>
        </w:rPr>
        <w:t xml:space="preserve"> que</w:t>
      </w:r>
      <w:r w:rsidR="00B762C9">
        <w:rPr>
          <w:rFonts w:eastAsia="Times New Roman" w:cstheme="minorHAnsi"/>
          <w:color w:val="000000"/>
          <w:lang w:eastAsia="es-CL"/>
        </w:rPr>
        <w:t xml:space="preserve"> </w:t>
      </w:r>
      <w:r w:rsidR="00FA5844">
        <w:rPr>
          <w:rFonts w:eastAsia="Times New Roman" w:cstheme="minorHAnsi"/>
          <w:color w:val="000000"/>
          <w:lang w:eastAsia="es-CL"/>
        </w:rPr>
        <w:t>2.427.914</w:t>
      </w:r>
      <w:r w:rsidR="00597E38">
        <w:rPr>
          <w:rFonts w:eastAsia="Times New Roman" w:cstheme="minorHAnsi"/>
          <w:color w:val="000000"/>
          <w:lang w:eastAsia="es-CL"/>
        </w:rPr>
        <w:t xml:space="preserve"> </w:t>
      </w:r>
      <w:r w:rsidRPr="00141549">
        <w:rPr>
          <w:rFonts w:eastAsia="Times New Roman" w:cstheme="minorHAnsi"/>
          <w:color w:val="000000"/>
          <w:lang w:eastAsia="es-CL"/>
        </w:rPr>
        <w:t xml:space="preserve">hogares con </w:t>
      </w:r>
      <w:r w:rsidR="003A7510" w:rsidRPr="00141549">
        <w:rPr>
          <w:rFonts w:eastAsia="Times New Roman" w:cstheme="minorHAnsi"/>
          <w:color w:val="000000"/>
          <w:lang w:eastAsia="es-CL"/>
        </w:rPr>
        <w:t xml:space="preserve">adultos mayores </w:t>
      </w:r>
      <w:r w:rsidR="00555813">
        <w:rPr>
          <w:rFonts w:eastAsia="Times New Roman" w:cstheme="minorHAnsi"/>
          <w:color w:val="000000"/>
          <w:lang w:eastAsia="es-CL"/>
        </w:rPr>
        <w:t>han sido</w:t>
      </w:r>
      <w:r w:rsidR="003A7510" w:rsidRPr="00141549">
        <w:rPr>
          <w:rFonts w:eastAsia="Times New Roman" w:cstheme="minorHAnsi"/>
          <w:color w:val="000000"/>
          <w:lang w:eastAsia="es-CL"/>
        </w:rPr>
        <w:t xml:space="preserve"> beneficiados,</w:t>
      </w:r>
      <w:r w:rsidRPr="00141549">
        <w:rPr>
          <w:rFonts w:eastAsia="Times New Roman" w:cstheme="minorHAnsi"/>
          <w:color w:val="000000"/>
          <w:lang w:eastAsia="es-CL"/>
        </w:rPr>
        <w:t xml:space="preserve"> lo que equivale a un total de</w:t>
      </w:r>
      <w:r w:rsidR="005E01D0">
        <w:rPr>
          <w:rFonts w:eastAsia="Times New Roman" w:cstheme="minorHAnsi"/>
          <w:color w:val="000000"/>
          <w:lang w:eastAsia="es-CL"/>
        </w:rPr>
        <w:t xml:space="preserve"> </w:t>
      </w:r>
      <w:r w:rsidR="00FA5844">
        <w:rPr>
          <w:rFonts w:eastAsia="Times New Roman" w:cstheme="minorHAnsi"/>
          <w:color w:val="000000"/>
          <w:lang w:eastAsia="es-CL"/>
        </w:rPr>
        <w:t xml:space="preserve">3.103.927 </w:t>
      </w:r>
      <w:r w:rsidRPr="00141549">
        <w:rPr>
          <w:rFonts w:eastAsia="Times New Roman" w:cstheme="minorHAnsi"/>
          <w:color w:val="000000"/>
          <w:lang w:eastAsia="es-CL"/>
        </w:rPr>
        <w:t>adultos mayores, representando</w:t>
      </w:r>
      <w:r w:rsidR="003A7510" w:rsidRPr="00141549">
        <w:rPr>
          <w:rFonts w:eastAsia="Times New Roman" w:cstheme="minorHAnsi"/>
          <w:color w:val="000000"/>
          <w:lang w:eastAsia="es-CL"/>
        </w:rPr>
        <w:t xml:space="preserve"> un aumento de aproximadamente </w:t>
      </w:r>
      <w:r w:rsidR="00FA5844">
        <w:rPr>
          <w:rFonts w:eastAsia="Times New Roman" w:cstheme="minorHAnsi"/>
          <w:color w:val="000000"/>
          <w:lang w:eastAsia="es-CL"/>
        </w:rPr>
        <w:t>4,6</w:t>
      </w:r>
      <w:r w:rsidR="003A7510" w:rsidRPr="00141549">
        <w:rPr>
          <w:rFonts w:eastAsia="Times New Roman" w:cstheme="minorHAnsi"/>
          <w:color w:val="000000"/>
          <w:lang w:eastAsia="es-CL"/>
        </w:rPr>
        <w:t xml:space="preserve"> veces al compararlo con el </w:t>
      </w:r>
      <w:r w:rsidR="00977C60" w:rsidRPr="0098246A">
        <w:rPr>
          <w:rFonts w:eastAsia="Times New Roman" w:cstheme="minorHAnsi"/>
          <w:color w:val="000000"/>
          <w:lang w:eastAsia="es-CL"/>
        </w:rPr>
        <w:t xml:space="preserve">número de hogares del </w:t>
      </w:r>
      <w:r w:rsidR="003A7510" w:rsidRPr="00141549">
        <w:rPr>
          <w:rFonts w:eastAsia="Times New Roman" w:cstheme="minorHAnsi"/>
          <w:color w:val="000000"/>
          <w:lang w:eastAsia="es-CL"/>
        </w:rPr>
        <w:t>sexto pago del IFE 2020.</w:t>
      </w:r>
    </w:p>
    <w:p w14:paraId="4D6AC97A" w14:textId="18C54EF2" w:rsidR="00695EE1" w:rsidRDefault="008D35B1" w:rsidP="008D35B1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 w:rsidRPr="008D35B1">
        <w:rPr>
          <w:rFonts w:eastAsia="Times New Roman" w:cstheme="minorHAnsi"/>
          <w:color w:val="000000"/>
          <w:lang w:eastAsia="es-CL"/>
        </w:rPr>
        <w:t>Asimismo, en el caso de pensionados acogidos a la modalidad de rentas vitalicias, retiro programado y del sistema antiguo por montos inferiores a los $408.125</w:t>
      </w:r>
      <w:r w:rsidR="005A7851">
        <w:rPr>
          <w:rFonts w:eastAsia="Times New Roman" w:cstheme="minorHAnsi"/>
          <w:color w:val="000000"/>
          <w:lang w:eastAsia="es-CL"/>
        </w:rPr>
        <w:t>, éstos fuero</w:t>
      </w:r>
      <w:r w:rsidRPr="008D35B1">
        <w:rPr>
          <w:rFonts w:eastAsia="Times New Roman" w:cstheme="minorHAnsi"/>
          <w:color w:val="000000"/>
          <w:lang w:eastAsia="es-CL"/>
        </w:rPr>
        <w:t>n beneficiarios del Bono Clase Media 2021. </w:t>
      </w:r>
    </w:p>
    <w:p w14:paraId="09BEBF7D" w14:textId="189DCFD9" w:rsidR="007E3876" w:rsidRDefault="007E3876" w:rsidP="00CC34BB">
      <w:pPr>
        <w:pStyle w:val="NormalWeb"/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lastRenderedPageBreak/>
        <w:t>11.</w:t>
      </w:r>
      <w:r w:rsidR="00343FDB">
        <w:rPr>
          <w:rFonts w:ascii="Calibri" w:hAnsi="Calibri" w:cs="Calibri"/>
          <w:sz w:val="22"/>
          <w:szCs w:val="22"/>
          <w:lang w:val="es-ES"/>
        </w:rPr>
        <w:t>-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CC34BB">
        <w:rPr>
          <w:rFonts w:ascii="Calibri" w:hAnsi="Calibri" w:cs="Calibri"/>
          <w:b/>
          <w:bCs/>
          <w:sz w:val="22"/>
          <w:szCs w:val="22"/>
          <w:lang w:val="es-ES"/>
        </w:rPr>
        <w:t>Incorporación de la población extranjera</w:t>
      </w:r>
      <w:r w:rsidR="00CC34BB">
        <w:rPr>
          <w:rFonts w:ascii="Calibri" w:hAnsi="Calibri" w:cs="Calibri"/>
          <w:b/>
          <w:bCs/>
          <w:sz w:val="22"/>
          <w:szCs w:val="22"/>
          <w:lang w:val="es-ES"/>
        </w:rPr>
        <w:t xml:space="preserve"> con hijos o hijas chilenas</w:t>
      </w:r>
      <w:r>
        <w:rPr>
          <w:rFonts w:ascii="Calibri" w:hAnsi="Calibri" w:cs="Calibri"/>
          <w:sz w:val="22"/>
          <w:szCs w:val="22"/>
          <w:lang w:val="es-ES"/>
        </w:rPr>
        <w:t xml:space="preserve">: este es un apoyo adicional </w:t>
      </w:r>
      <w:r w:rsidR="005D580D">
        <w:rPr>
          <w:rFonts w:ascii="Calibri" w:hAnsi="Calibri" w:cs="Calibri"/>
          <w:sz w:val="22"/>
          <w:szCs w:val="22"/>
          <w:lang w:val="es-ES"/>
        </w:rPr>
        <w:t xml:space="preserve">cuyo primer pago </w:t>
      </w:r>
      <w:r w:rsidR="00844C81">
        <w:rPr>
          <w:rFonts w:ascii="Calibri" w:hAnsi="Calibri" w:cs="Calibri"/>
          <w:sz w:val="22"/>
          <w:szCs w:val="22"/>
          <w:lang w:val="es-ES"/>
        </w:rPr>
        <w:t>fue recibido por</w:t>
      </w:r>
      <w:r w:rsidR="00635F29">
        <w:rPr>
          <w:rFonts w:ascii="Calibri" w:hAnsi="Calibri" w:cs="Calibri"/>
          <w:sz w:val="22"/>
          <w:szCs w:val="22"/>
          <w:lang w:val="es-ES"/>
        </w:rPr>
        <w:t xml:space="preserve"> 1.688 personas</w:t>
      </w:r>
      <w:r w:rsidR="007B15B3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601D93">
        <w:rPr>
          <w:rFonts w:ascii="Calibri" w:hAnsi="Calibri" w:cs="Calibri"/>
          <w:sz w:val="22"/>
          <w:szCs w:val="22"/>
          <w:lang w:val="es-ES"/>
        </w:rPr>
        <w:t>pertenecientes a 824 grupos-visa</w:t>
      </w:r>
      <w:r w:rsidR="00367EA8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64FF8">
        <w:rPr>
          <w:rFonts w:ascii="Calibri" w:hAnsi="Calibri" w:cs="Calibri"/>
          <w:sz w:val="22"/>
          <w:szCs w:val="22"/>
          <w:lang w:val="es-ES"/>
        </w:rPr>
        <w:t>(</w:t>
      </w:r>
      <w:r w:rsidR="00C44769">
        <w:rPr>
          <w:rFonts w:ascii="Calibri" w:hAnsi="Calibri" w:cs="Calibri"/>
          <w:sz w:val="22"/>
          <w:szCs w:val="22"/>
          <w:lang w:val="es-ES"/>
        </w:rPr>
        <w:t xml:space="preserve">estos grupos </w:t>
      </w:r>
      <w:r w:rsidR="00B64FF8">
        <w:rPr>
          <w:rFonts w:ascii="Calibri" w:hAnsi="Calibri" w:cs="Calibri"/>
          <w:sz w:val="22"/>
          <w:szCs w:val="22"/>
          <w:lang w:val="es-ES"/>
        </w:rPr>
        <w:t>incluyen al solicitante de visa, sus dependientes y los hijos o hijas que cuentan con RUN)</w:t>
      </w:r>
      <w:r w:rsidR="00482C38" w:rsidRPr="00482C38">
        <w:rPr>
          <w:rStyle w:val="Refdenotaalpie"/>
          <w:rFonts w:ascii="Calibri" w:hAnsi="Calibri" w:cs="Calibri"/>
          <w:sz w:val="22"/>
          <w:szCs w:val="22"/>
          <w:lang w:val="es-ES"/>
        </w:rPr>
        <w:t xml:space="preserve"> </w:t>
      </w:r>
      <w:r w:rsidR="00482C38">
        <w:rPr>
          <w:rStyle w:val="Refdenotaalpie"/>
          <w:rFonts w:ascii="Calibri" w:hAnsi="Calibri" w:cs="Calibri"/>
          <w:sz w:val="22"/>
          <w:szCs w:val="22"/>
          <w:lang w:val="es-ES"/>
        </w:rPr>
        <w:footnoteReference w:id="2"/>
      </w:r>
      <w:r w:rsidR="00B64FF8">
        <w:rPr>
          <w:rFonts w:ascii="Calibri" w:hAnsi="Calibri" w:cs="Calibri"/>
          <w:sz w:val="22"/>
          <w:szCs w:val="22"/>
          <w:lang w:val="es-ES"/>
        </w:rPr>
        <w:t>.</w:t>
      </w:r>
      <w:r w:rsidR="00367EA8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844C81">
        <w:rPr>
          <w:rFonts w:ascii="Calibri" w:hAnsi="Calibri" w:cs="Calibri"/>
          <w:sz w:val="22"/>
          <w:szCs w:val="22"/>
          <w:lang w:val="es-ES"/>
        </w:rPr>
        <w:t xml:space="preserve">Estas personas </w:t>
      </w:r>
      <w:r w:rsidR="0005585D">
        <w:rPr>
          <w:rFonts w:ascii="Calibri" w:hAnsi="Calibri" w:cs="Calibri"/>
          <w:sz w:val="22"/>
          <w:szCs w:val="22"/>
          <w:lang w:val="es-ES"/>
        </w:rPr>
        <w:t xml:space="preserve">deben </w:t>
      </w:r>
      <w:r>
        <w:rPr>
          <w:rFonts w:ascii="Calibri" w:hAnsi="Calibri" w:cs="Calibri"/>
          <w:sz w:val="22"/>
          <w:szCs w:val="22"/>
          <w:lang w:val="es-ES"/>
        </w:rPr>
        <w:t>cumplir con las siguientes características</w:t>
      </w:r>
      <w:r w:rsidR="00724B24">
        <w:rPr>
          <w:rFonts w:ascii="Calibri" w:hAnsi="Calibri" w:cs="Calibri"/>
          <w:sz w:val="22"/>
          <w:szCs w:val="22"/>
          <w:lang w:val="es-ES"/>
        </w:rPr>
        <w:t xml:space="preserve"> de acuerdo al art</w:t>
      </w:r>
      <w:r w:rsidR="00AA39E2">
        <w:rPr>
          <w:rFonts w:ascii="Calibri" w:hAnsi="Calibri" w:cs="Calibri"/>
          <w:sz w:val="22"/>
          <w:szCs w:val="22"/>
          <w:lang w:val="es-ES"/>
        </w:rPr>
        <w:t>ículo tercero transitori</w:t>
      </w:r>
      <w:r w:rsidR="00A01B45">
        <w:rPr>
          <w:rFonts w:ascii="Calibri" w:hAnsi="Calibri" w:cs="Calibri"/>
          <w:sz w:val="22"/>
          <w:szCs w:val="22"/>
          <w:lang w:val="es-ES"/>
        </w:rPr>
        <w:t>o</w:t>
      </w:r>
      <w:r w:rsidR="00AA39E2">
        <w:rPr>
          <w:rFonts w:ascii="Calibri" w:hAnsi="Calibri" w:cs="Calibri"/>
          <w:sz w:val="22"/>
          <w:szCs w:val="22"/>
          <w:lang w:val="es-ES"/>
        </w:rPr>
        <w:t xml:space="preserve"> de </w:t>
      </w:r>
      <w:r w:rsidR="00724B24">
        <w:rPr>
          <w:rFonts w:ascii="Calibri" w:hAnsi="Calibri" w:cs="Calibri"/>
          <w:sz w:val="22"/>
          <w:szCs w:val="22"/>
          <w:lang w:val="es-ES"/>
        </w:rPr>
        <w:t xml:space="preserve">la </w:t>
      </w:r>
      <w:r w:rsidR="00A01B45">
        <w:rPr>
          <w:rFonts w:ascii="Calibri" w:hAnsi="Calibri" w:cs="Calibri"/>
          <w:sz w:val="22"/>
          <w:szCs w:val="22"/>
          <w:lang w:val="es-ES"/>
        </w:rPr>
        <w:t>L</w:t>
      </w:r>
      <w:r w:rsidR="00724B24">
        <w:rPr>
          <w:rFonts w:ascii="Calibri" w:hAnsi="Calibri" w:cs="Calibri"/>
          <w:sz w:val="22"/>
          <w:szCs w:val="22"/>
          <w:lang w:val="es-ES"/>
        </w:rPr>
        <w:t>ey</w:t>
      </w:r>
      <w:r w:rsidR="006F0902">
        <w:rPr>
          <w:rFonts w:ascii="Calibri" w:hAnsi="Calibri" w:cs="Calibri"/>
          <w:sz w:val="22"/>
          <w:szCs w:val="22"/>
          <w:lang w:val="es-ES"/>
        </w:rPr>
        <w:t xml:space="preserve"> 21.352</w:t>
      </w:r>
      <w:r>
        <w:rPr>
          <w:rFonts w:ascii="Calibri" w:hAnsi="Calibri" w:cs="Calibri"/>
          <w:sz w:val="22"/>
          <w:szCs w:val="22"/>
          <w:lang w:val="es-ES"/>
        </w:rPr>
        <w:t>: i. no tener Rol Único Nacional, ii. haber realizado una solicitud de visa pendiente de aprobación ante el Servicio Nacional de Migraciones, iii. tener hijos o hijas chilenos.</w:t>
      </w:r>
    </w:p>
    <w:p w14:paraId="74D032DA" w14:textId="3597FABF" w:rsidR="00932A44" w:rsidRPr="00482C38" w:rsidRDefault="007E3876" w:rsidP="00482C38">
      <w:pPr>
        <w:pStyle w:val="NormalWeb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En total, est</w:t>
      </w:r>
      <w:r w:rsidR="005233B7">
        <w:rPr>
          <w:rFonts w:ascii="Calibri" w:hAnsi="Calibri" w:cs="Calibri"/>
          <w:sz w:val="22"/>
          <w:szCs w:val="22"/>
          <w:lang w:val="es-ES"/>
        </w:rPr>
        <w:t xml:space="preserve">os grupos-visa </w:t>
      </w:r>
      <w:r w:rsidR="00F8392C">
        <w:rPr>
          <w:rFonts w:ascii="Calibri" w:hAnsi="Calibri" w:cs="Calibri"/>
          <w:sz w:val="22"/>
          <w:szCs w:val="22"/>
          <w:lang w:val="es-ES"/>
        </w:rPr>
        <w:t xml:space="preserve">han recibido </w:t>
      </w:r>
      <w:r w:rsidR="00FA5844">
        <w:rPr>
          <w:rFonts w:ascii="Calibri" w:hAnsi="Calibri" w:cs="Calibri"/>
          <w:sz w:val="22"/>
          <w:szCs w:val="22"/>
          <w:lang w:val="es-ES"/>
        </w:rPr>
        <w:t xml:space="preserve">5 </w:t>
      </w:r>
      <w:r w:rsidR="00F8392C">
        <w:rPr>
          <w:rFonts w:ascii="Calibri" w:hAnsi="Calibri" w:cs="Calibri"/>
          <w:sz w:val="22"/>
          <w:szCs w:val="22"/>
          <w:lang w:val="es-ES"/>
        </w:rPr>
        <w:t>pagos,</w:t>
      </w:r>
      <w:r w:rsidR="00ED7B82">
        <w:rPr>
          <w:rFonts w:ascii="Calibri" w:hAnsi="Calibri" w:cs="Calibri"/>
          <w:sz w:val="22"/>
          <w:szCs w:val="22"/>
          <w:lang w:val="es-ES"/>
        </w:rPr>
        <w:t xml:space="preserve"> por un monto total que asciende a </w:t>
      </w:r>
      <w:r w:rsidR="00BD0860" w:rsidRPr="00BD0860">
        <w:rPr>
          <w:rFonts w:ascii="Calibri" w:hAnsi="Calibri" w:cs="Calibri"/>
          <w:sz w:val="22"/>
          <w:szCs w:val="22"/>
          <w:lang w:val="es-ES"/>
        </w:rPr>
        <w:t>$ 1.148.306.000</w:t>
      </w:r>
      <w:r w:rsidR="00BD0860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F8392C">
        <w:rPr>
          <w:rFonts w:ascii="Calibri" w:hAnsi="Calibri" w:cs="Calibri"/>
          <w:sz w:val="22"/>
          <w:szCs w:val="22"/>
          <w:lang w:val="es-ES"/>
        </w:rPr>
        <w:t>correspondientes a los meses de junio, julio</w:t>
      </w:r>
      <w:r w:rsidR="00932A44">
        <w:rPr>
          <w:rFonts w:ascii="Calibri" w:hAnsi="Calibri" w:cs="Calibri"/>
          <w:sz w:val="22"/>
          <w:szCs w:val="22"/>
          <w:lang w:val="es-ES"/>
        </w:rPr>
        <w:t>,</w:t>
      </w:r>
      <w:r w:rsidR="00F8392C">
        <w:rPr>
          <w:rFonts w:ascii="Calibri" w:hAnsi="Calibri" w:cs="Calibri"/>
          <w:sz w:val="22"/>
          <w:szCs w:val="22"/>
          <w:lang w:val="es-ES"/>
        </w:rPr>
        <w:t xml:space="preserve"> agosto</w:t>
      </w:r>
      <w:r w:rsidR="009F0B1A">
        <w:rPr>
          <w:rFonts w:ascii="Calibri" w:hAnsi="Calibri" w:cs="Calibri"/>
          <w:sz w:val="22"/>
          <w:szCs w:val="22"/>
          <w:lang w:val="es-ES"/>
        </w:rPr>
        <w:t>,</w:t>
      </w:r>
      <w:r w:rsidR="00932A44">
        <w:rPr>
          <w:rFonts w:ascii="Calibri" w:hAnsi="Calibri" w:cs="Calibri"/>
          <w:sz w:val="22"/>
          <w:szCs w:val="22"/>
          <w:lang w:val="es-ES"/>
        </w:rPr>
        <w:t xml:space="preserve"> septiembre</w:t>
      </w:r>
      <w:r w:rsidR="009F0B1A">
        <w:rPr>
          <w:rFonts w:ascii="Calibri" w:hAnsi="Calibri" w:cs="Calibri"/>
          <w:sz w:val="22"/>
          <w:szCs w:val="22"/>
          <w:lang w:val="es-ES"/>
        </w:rPr>
        <w:t xml:space="preserve"> y octubre</w:t>
      </w:r>
      <w:r w:rsidR="00482C38">
        <w:rPr>
          <w:rFonts w:ascii="Calibri" w:hAnsi="Calibri" w:cs="Calibri"/>
          <w:sz w:val="22"/>
          <w:szCs w:val="22"/>
          <w:lang w:val="es-ES"/>
        </w:rPr>
        <w:t>. El pago de</w:t>
      </w:r>
      <w:r w:rsidR="00367EA8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F0B1A">
        <w:rPr>
          <w:rFonts w:ascii="Calibri" w:hAnsi="Calibri" w:cs="Calibri"/>
          <w:sz w:val="22"/>
          <w:szCs w:val="22"/>
          <w:lang w:val="es-ES"/>
        </w:rPr>
        <w:t xml:space="preserve">octubre </w:t>
      </w:r>
      <w:r w:rsidR="00482C38">
        <w:rPr>
          <w:rFonts w:ascii="Calibri" w:hAnsi="Calibri" w:cs="Calibri"/>
          <w:sz w:val="22"/>
          <w:szCs w:val="22"/>
          <w:lang w:val="es-ES"/>
        </w:rPr>
        <w:t xml:space="preserve">fue recibido por </w:t>
      </w:r>
      <w:r w:rsidR="009F0B1A">
        <w:rPr>
          <w:rFonts w:ascii="Calibri" w:hAnsi="Calibri" w:cs="Calibri"/>
          <w:sz w:val="22"/>
          <w:szCs w:val="22"/>
          <w:lang w:val="es-ES"/>
        </w:rPr>
        <w:t xml:space="preserve">990 </w:t>
      </w:r>
      <w:r w:rsidR="00F37371">
        <w:rPr>
          <w:rFonts w:ascii="Calibri" w:hAnsi="Calibri" w:cs="Calibri"/>
          <w:sz w:val="22"/>
          <w:szCs w:val="22"/>
          <w:lang w:val="es-ES"/>
        </w:rPr>
        <w:t>grupos-visa conformados por</w:t>
      </w:r>
      <w:r w:rsidR="00367EA8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F0B1A">
        <w:rPr>
          <w:rFonts w:ascii="Calibri" w:hAnsi="Calibri" w:cs="Calibri"/>
          <w:sz w:val="22"/>
          <w:szCs w:val="22"/>
          <w:lang w:val="es-ES"/>
        </w:rPr>
        <w:t>2.017</w:t>
      </w:r>
      <w:r w:rsidR="00367EA8">
        <w:rPr>
          <w:rFonts w:ascii="Calibri" w:hAnsi="Calibri" w:cs="Calibri"/>
          <w:sz w:val="22"/>
          <w:szCs w:val="22"/>
          <w:lang w:val="es-ES"/>
        </w:rPr>
        <w:t xml:space="preserve"> personas</w:t>
      </w:r>
      <w:r w:rsidR="00F37371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367EA8">
        <w:rPr>
          <w:rFonts w:ascii="Calibri" w:hAnsi="Calibri" w:cs="Calibri"/>
          <w:sz w:val="22"/>
          <w:szCs w:val="22"/>
          <w:lang w:val="es-ES"/>
        </w:rPr>
        <w:t>por un total de $</w:t>
      </w:r>
      <w:r w:rsidR="009F0B1A">
        <w:rPr>
          <w:rFonts w:ascii="Calibri" w:hAnsi="Calibri" w:cs="Calibri"/>
          <w:sz w:val="22"/>
          <w:szCs w:val="22"/>
          <w:lang w:val="es-ES"/>
        </w:rPr>
        <w:t>220.145.000</w:t>
      </w:r>
      <w:r w:rsidR="00F37371">
        <w:rPr>
          <w:rFonts w:ascii="Calibri" w:hAnsi="Calibri" w:cs="Calibri"/>
          <w:sz w:val="22"/>
          <w:szCs w:val="22"/>
          <w:lang w:val="es-ES"/>
        </w:rPr>
        <w:t xml:space="preserve"> y </w:t>
      </w:r>
      <w:r w:rsidR="00367EA8" w:rsidRPr="00CC34BB">
        <w:rPr>
          <w:rFonts w:ascii="Calibri" w:hAnsi="Calibri" w:cs="Calibri"/>
          <w:b/>
          <w:bCs/>
          <w:sz w:val="22"/>
          <w:szCs w:val="22"/>
          <w:lang w:val="es-ES"/>
        </w:rPr>
        <w:t xml:space="preserve">un </w:t>
      </w:r>
      <w:r w:rsidR="00ED7B82" w:rsidRPr="00CC34BB">
        <w:rPr>
          <w:rFonts w:ascii="Calibri" w:hAnsi="Calibri" w:cs="Calibri"/>
          <w:b/>
          <w:bCs/>
          <w:sz w:val="22"/>
          <w:szCs w:val="22"/>
          <w:lang w:val="es-ES"/>
        </w:rPr>
        <w:t>monto promedio</w:t>
      </w:r>
      <w:r w:rsidR="00F37371">
        <w:rPr>
          <w:rFonts w:ascii="Calibri" w:hAnsi="Calibri" w:cs="Calibri"/>
          <w:b/>
          <w:bCs/>
          <w:sz w:val="22"/>
          <w:szCs w:val="22"/>
          <w:lang w:val="es-ES"/>
        </w:rPr>
        <w:t xml:space="preserve"> por grupo-visa </w:t>
      </w:r>
      <w:r w:rsidR="00ED7B82" w:rsidRPr="00482C38">
        <w:rPr>
          <w:rFonts w:ascii="Calibri" w:hAnsi="Calibri" w:cs="Calibri"/>
          <w:b/>
          <w:bCs/>
          <w:sz w:val="22"/>
          <w:szCs w:val="22"/>
          <w:lang w:val="es-ES"/>
        </w:rPr>
        <w:t>de $</w:t>
      </w:r>
      <w:r w:rsidR="00BE2338">
        <w:rPr>
          <w:rFonts w:ascii="Calibri" w:hAnsi="Calibri" w:cs="Calibri"/>
          <w:b/>
          <w:bCs/>
          <w:sz w:val="22"/>
          <w:szCs w:val="22"/>
          <w:lang w:val="es-ES"/>
        </w:rPr>
        <w:t>22</w:t>
      </w:r>
      <w:r w:rsidR="00BC458B">
        <w:rPr>
          <w:rFonts w:ascii="Calibri" w:hAnsi="Calibri" w:cs="Calibri"/>
          <w:b/>
          <w:bCs/>
          <w:sz w:val="22"/>
          <w:szCs w:val="22"/>
          <w:lang w:val="es-ES"/>
        </w:rPr>
        <w:t>2</w:t>
      </w:r>
      <w:r w:rsidR="00BE2338">
        <w:rPr>
          <w:rFonts w:ascii="Calibri" w:hAnsi="Calibri" w:cs="Calibri"/>
          <w:b/>
          <w:bCs/>
          <w:sz w:val="22"/>
          <w:szCs w:val="22"/>
          <w:lang w:val="es-ES"/>
        </w:rPr>
        <w:t>.369</w:t>
      </w:r>
      <w:r w:rsidR="00ED7B82" w:rsidRPr="00482C38">
        <w:rPr>
          <w:rFonts w:ascii="Calibri" w:hAnsi="Calibri" w:cs="Calibri"/>
          <w:b/>
          <w:bCs/>
          <w:sz w:val="22"/>
          <w:szCs w:val="22"/>
          <w:lang w:val="es-ES"/>
        </w:rPr>
        <w:t>.</w:t>
      </w:r>
      <w:r w:rsidR="00482C3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 w:rsidR="00D17134">
        <w:rPr>
          <w:rFonts w:ascii="Calibri" w:hAnsi="Calibri" w:cs="Calibri"/>
          <w:sz w:val="22"/>
          <w:szCs w:val="22"/>
          <w:lang w:val="es-ES"/>
        </w:rPr>
        <w:t xml:space="preserve">En el pago correspondiente al mes de </w:t>
      </w:r>
      <w:r w:rsidR="00BE2338">
        <w:rPr>
          <w:rFonts w:ascii="Calibri" w:hAnsi="Calibri" w:cs="Calibri"/>
          <w:sz w:val="22"/>
          <w:szCs w:val="22"/>
          <w:lang w:val="es-ES"/>
        </w:rPr>
        <w:t xml:space="preserve">octubre </w:t>
      </w:r>
      <w:r w:rsidR="00D17134">
        <w:rPr>
          <w:rFonts w:ascii="Calibri" w:hAnsi="Calibri" w:cs="Calibri"/>
          <w:sz w:val="22"/>
          <w:szCs w:val="22"/>
          <w:lang w:val="es-ES"/>
        </w:rPr>
        <w:t xml:space="preserve">la </w:t>
      </w:r>
      <w:r>
        <w:rPr>
          <w:rFonts w:ascii="Calibri" w:hAnsi="Calibri" w:cs="Calibri"/>
          <w:sz w:val="22"/>
          <w:szCs w:val="22"/>
          <w:lang w:val="es-ES"/>
        </w:rPr>
        <w:t xml:space="preserve">mayor parte de los extranjeros beneficiados </w:t>
      </w:r>
      <w:r w:rsidR="00482C38">
        <w:rPr>
          <w:rFonts w:ascii="Calibri" w:hAnsi="Calibri" w:cs="Calibri"/>
          <w:sz w:val="22"/>
          <w:szCs w:val="22"/>
          <w:lang w:val="es-ES"/>
        </w:rPr>
        <w:t>forma parte de</w:t>
      </w:r>
      <w:r>
        <w:rPr>
          <w:rFonts w:ascii="Calibri" w:hAnsi="Calibri" w:cs="Calibri"/>
          <w:sz w:val="22"/>
          <w:szCs w:val="22"/>
          <w:lang w:val="es-ES"/>
        </w:rPr>
        <w:t xml:space="preserve"> grupos visa individuales</w:t>
      </w:r>
      <w:r w:rsidRPr="008A0DAA">
        <w:rPr>
          <w:rFonts w:ascii="Calibri" w:hAnsi="Calibri" w:cs="Calibri"/>
          <w:sz w:val="22"/>
          <w:szCs w:val="22"/>
          <w:lang w:val="es-ES"/>
        </w:rPr>
        <w:t>, sin dependientes (</w:t>
      </w:r>
      <w:r w:rsidR="00932A44">
        <w:rPr>
          <w:rFonts w:ascii="Calibri" w:hAnsi="Calibri" w:cs="Calibri"/>
          <w:sz w:val="22"/>
          <w:szCs w:val="22"/>
          <w:lang w:val="es-ES"/>
        </w:rPr>
        <w:t>más del 95%</w:t>
      </w:r>
      <w:r w:rsidRPr="008A0DAA">
        <w:rPr>
          <w:rFonts w:ascii="Calibri" w:hAnsi="Calibri" w:cs="Calibri"/>
          <w:sz w:val="22"/>
          <w:szCs w:val="22"/>
          <w:lang w:val="es-ES"/>
        </w:rPr>
        <w:t>)</w:t>
      </w:r>
      <w:r w:rsidR="00617C13" w:rsidRPr="008A0DAA">
        <w:rPr>
          <w:rFonts w:ascii="Calibri" w:hAnsi="Calibri" w:cs="Calibri"/>
          <w:sz w:val="22"/>
          <w:szCs w:val="22"/>
          <w:lang w:val="es-ES"/>
        </w:rPr>
        <w:t>,</w:t>
      </w:r>
      <w:r>
        <w:rPr>
          <w:rFonts w:ascii="Calibri" w:hAnsi="Calibri" w:cs="Calibri"/>
          <w:sz w:val="22"/>
          <w:szCs w:val="22"/>
          <w:lang w:val="es-ES"/>
        </w:rPr>
        <w:t xml:space="preserve"> que declaran un solo hijo con RUN (</w:t>
      </w:r>
      <w:r w:rsidR="00932A44">
        <w:rPr>
          <w:rFonts w:ascii="Calibri" w:hAnsi="Calibri" w:cs="Calibri"/>
          <w:sz w:val="22"/>
          <w:szCs w:val="22"/>
          <w:lang w:val="es-ES"/>
        </w:rPr>
        <w:t>más del 90%</w:t>
      </w:r>
      <w:r>
        <w:rPr>
          <w:rFonts w:ascii="Calibri" w:hAnsi="Calibri" w:cs="Calibri"/>
          <w:sz w:val="22"/>
          <w:szCs w:val="22"/>
          <w:lang w:val="es-ES"/>
        </w:rPr>
        <w:t>).</w:t>
      </w:r>
    </w:p>
    <w:p w14:paraId="14C0395F" w14:textId="62AAFA58" w:rsidR="008D35B1" w:rsidRPr="008D35B1" w:rsidRDefault="00BE0A1A" w:rsidP="008D35B1">
      <w:pPr>
        <w:spacing w:before="240" w:after="240" w:line="240" w:lineRule="auto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1</w:t>
      </w:r>
      <w:r w:rsidR="007E3876">
        <w:rPr>
          <w:rFonts w:eastAsia="Times New Roman" w:cstheme="minorHAnsi"/>
          <w:color w:val="000000"/>
          <w:lang w:eastAsia="es-CL"/>
        </w:rPr>
        <w:t>2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.- </w:t>
      </w:r>
      <w:r w:rsidR="007318D0" w:rsidRPr="007318D0">
        <w:rPr>
          <w:rFonts w:eastAsia="Times New Roman" w:cstheme="minorHAnsi"/>
          <w:b/>
          <w:color w:val="000000"/>
          <w:lang w:eastAsia="es-CL"/>
        </w:rPr>
        <w:t>Beneficio j</w:t>
      </w:r>
      <w:r w:rsidR="008D35B1" w:rsidRPr="008D35B1">
        <w:rPr>
          <w:rFonts w:eastAsia="Times New Roman" w:cstheme="minorHAnsi"/>
          <w:b/>
          <w:color w:val="000000"/>
          <w:lang w:eastAsia="es-CL"/>
        </w:rPr>
        <w:t>usto</w:t>
      </w:r>
      <w:r w:rsidR="008D35B1" w:rsidRPr="008D35B1">
        <w:rPr>
          <w:rFonts w:eastAsia="Times New Roman" w:cstheme="minorHAnsi"/>
          <w:color w:val="000000"/>
          <w:lang w:eastAsia="es-CL"/>
        </w:rPr>
        <w:t>: si bien los efectos de esta crisis se han hecho sentir en gran parte de los hogares del país afectando de manera transversal a las familias, los más vulnerables se encontraban en peor pie para enfrentar la pandemia y requieren de todos nuestros esfuerzos para ser protegidos ante esta emergencia social y sanitaria.</w:t>
      </w:r>
    </w:p>
    <w:p w14:paraId="3044DBF2" w14:textId="21B7D6EA" w:rsidR="00D42A77" w:rsidRDefault="000B5814" w:rsidP="00C01BE8">
      <w:pPr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8D35B1">
        <w:rPr>
          <w:rFonts w:eastAsia="Times New Roman" w:cstheme="minorHAnsi"/>
          <w:color w:val="000000"/>
          <w:lang w:eastAsia="es-CL"/>
        </w:rPr>
        <w:t>Así, considerando todos los apoyos pagados a la fecha</w:t>
      </w:r>
      <w:r>
        <w:rPr>
          <w:rFonts w:eastAsia="Times New Roman" w:cstheme="minorHAnsi"/>
          <w:color w:val="000000"/>
          <w:lang w:eastAsia="es-CL"/>
        </w:rPr>
        <w:t xml:space="preserve"> </w:t>
      </w:r>
      <w:r w:rsidRPr="00801A03">
        <w:rPr>
          <w:rFonts w:eastAsia="Times New Roman" w:cstheme="minorHAnsi"/>
          <w:color w:val="000000"/>
          <w:lang w:eastAsia="es-CL"/>
        </w:rPr>
        <w:t>(6 IFE</w:t>
      </w:r>
      <w:r>
        <w:rPr>
          <w:rFonts w:eastAsia="Times New Roman" w:cstheme="minorHAnsi"/>
          <w:color w:val="000000"/>
          <w:lang w:eastAsia="es-CL"/>
        </w:rPr>
        <w:t>s</w:t>
      </w:r>
      <w:r w:rsidRPr="00801A03">
        <w:rPr>
          <w:rFonts w:eastAsia="Times New Roman" w:cstheme="minorHAnsi"/>
          <w:color w:val="000000"/>
          <w:lang w:eastAsia="es-CL"/>
        </w:rPr>
        <w:t xml:space="preserve"> 2020 + Bono Covid</w:t>
      </w:r>
      <w:r>
        <w:rPr>
          <w:rFonts w:eastAsia="Times New Roman" w:cstheme="minorHAnsi"/>
          <w:color w:val="000000"/>
          <w:lang w:eastAsia="es-CL"/>
        </w:rPr>
        <w:t xml:space="preserve"> Navidad</w:t>
      </w:r>
      <w:r w:rsidRPr="00801A03">
        <w:rPr>
          <w:rFonts w:eastAsia="Times New Roman" w:cstheme="minorHAnsi"/>
          <w:color w:val="000000"/>
          <w:lang w:eastAsia="es-CL"/>
        </w:rPr>
        <w:t xml:space="preserve"> + </w:t>
      </w:r>
      <w:r>
        <w:rPr>
          <w:rFonts w:eastAsia="Times New Roman" w:cstheme="minorHAnsi"/>
          <w:color w:val="000000"/>
          <w:lang w:eastAsia="es-CL"/>
        </w:rPr>
        <w:t>11</w:t>
      </w:r>
      <w:r w:rsidRPr="00801A03">
        <w:rPr>
          <w:rFonts w:eastAsia="Times New Roman" w:cstheme="minorHAnsi"/>
          <w:color w:val="000000"/>
          <w:lang w:eastAsia="es-CL"/>
        </w:rPr>
        <w:t xml:space="preserve"> IFE</w:t>
      </w:r>
      <w:r>
        <w:rPr>
          <w:rFonts w:eastAsia="Times New Roman" w:cstheme="minorHAnsi"/>
          <w:color w:val="000000"/>
          <w:lang w:eastAsia="es-CL"/>
        </w:rPr>
        <w:t>s</w:t>
      </w:r>
      <w:r w:rsidRPr="00801A03">
        <w:rPr>
          <w:rFonts w:eastAsia="Times New Roman" w:cstheme="minorHAnsi"/>
          <w:color w:val="000000"/>
          <w:lang w:eastAsia="es-CL"/>
        </w:rPr>
        <w:t xml:space="preserve"> 2021) los hogares beneficiarios </w:t>
      </w:r>
      <w:r>
        <w:rPr>
          <w:rFonts w:eastAsia="Times New Roman" w:cstheme="minorHAnsi"/>
          <w:color w:val="000000"/>
          <w:lang w:eastAsia="es-CL"/>
        </w:rPr>
        <w:t xml:space="preserve">que han recibido más pagos son los que pertenecen a los tramos de mayor vulnerabilidad socioeconómica, lo que coincide con los objetivos planteados del IFE y la evolución de los requisitos de elegibilidad de los beneficiarios. En el primer tramo 4,5 millones de hogares recibieron al menos un aporte y en promedio recibieron 12 pagos, es decir recibieron el doble de pagos que los hogares que pertenecen al tramo de </w:t>
      </w:r>
      <w:r w:rsidR="00F53B91">
        <w:rPr>
          <w:rFonts w:eastAsia="Times New Roman" w:cstheme="minorHAnsi"/>
          <w:color w:val="000000"/>
          <w:lang w:eastAsia="es-CL"/>
        </w:rPr>
        <w:t>menor vulnerabilidad socioeconómica</w:t>
      </w:r>
      <w:r>
        <w:rPr>
          <w:rFonts w:eastAsia="Times New Roman" w:cstheme="minorHAnsi"/>
          <w:color w:val="000000"/>
          <w:lang w:eastAsia="es-CL"/>
        </w:rPr>
        <w:t>.</w:t>
      </w:r>
      <w:r w:rsidR="00801A03" w:rsidRPr="005E2AF9">
        <w:rPr>
          <w:rFonts w:eastAsia="Times New Roman" w:cstheme="minorHAnsi"/>
          <w:color w:val="000000"/>
          <w:lang w:eastAsia="es-CL"/>
        </w:rPr>
        <w:t xml:space="preserve"> E</w:t>
      </w:r>
      <w:r w:rsidR="007318D0" w:rsidRPr="00801A03">
        <w:rPr>
          <w:rFonts w:eastAsia="Times New Roman" w:cstheme="minorHAnsi"/>
          <w:color w:val="000000"/>
          <w:lang w:eastAsia="es-CL"/>
        </w:rPr>
        <w:t>s</w:t>
      </w:r>
      <w:r w:rsidR="007318D0">
        <w:rPr>
          <w:rFonts w:eastAsia="Times New Roman" w:cstheme="minorHAnsi"/>
          <w:color w:val="000000"/>
          <w:lang w:eastAsia="es-CL"/>
        </w:rPr>
        <w:t xml:space="preserve"> importante destacar </w:t>
      </w:r>
      <w:r w:rsidR="007318D0" w:rsidRPr="007318D0">
        <w:rPr>
          <w:rFonts w:eastAsia="Times New Roman" w:cstheme="minorHAnsi"/>
          <w:b/>
          <w:color w:val="000000"/>
          <w:lang w:eastAsia="es-CL"/>
        </w:rPr>
        <w:t>que tanto en cobertura como en número de pagos y montos promedio, siempre hay un mayor beneficio para los hogares más vulnerables.</w:t>
      </w:r>
    </w:p>
    <w:p w14:paraId="58C33631" w14:textId="1F8F1B6E" w:rsidR="0060294D" w:rsidRDefault="007318D0" w:rsidP="0060294D">
      <w:pPr>
        <w:spacing w:before="160" w:after="0" w:line="240" w:lineRule="auto"/>
        <w:ind w:left="2642" w:right="2659"/>
        <w:contextualSpacing/>
        <w:jc w:val="center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t xml:space="preserve">Beneficiarios </w:t>
      </w:r>
      <w:r w:rsidR="00D9252E">
        <w:rPr>
          <w:rFonts w:eastAsia="Times New Roman" w:cstheme="minorHAnsi"/>
          <w:b/>
          <w:bCs/>
          <w:color w:val="000000"/>
          <w:lang w:eastAsia="es-CL"/>
        </w:rPr>
        <w:t xml:space="preserve">con </w:t>
      </w:r>
      <w:r>
        <w:rPr>
          <w:rFonts w:eastAsia="Times New Roman" w:cstheme="minorHAnsi"/>
          <w:b/>
          <w:bCs/>
          <w:color w:val="000000"/>
          <w:lang w:eastAsia="es-CL"/>
        </w:rPr>
        <w:t>al menos un aporte IFE por tramo CSE</w:t>
      </w:r>
    </w:p>
    <w:p w14:paraId="501C0388" w14:textId="18B6C027" w:rsidR="00BC31C0" w:rsidRDefault="00BC31C0" w:rsidP="0060294D">
      <w:pPr>
        <w:spacing w:before="160" w:after="0" w:line="240" w:lineRule="auto"/>
        <w:ind w:left="2642" w:right="2659"/>
        <w:contextualSpacing/>
        <w:jc w:val="center"/>
        <w:rPr>
          <w:rFonts w:eastAsia="Times New Roman" w:cstheme="minorHAnsi"/>
          <w:bCs/>
          <w:i/>
          <w:color w:val="000000"/>
          <w:lang w:eastAsia="es-CL"/>
        </w:rPr>
      </w:pPr>
      <w:r w:rsidRPr="0060294D">
        <w:rPr>
          <w:rFonts w:eastAsia="Times New Roman" w:cstheme="minorHAnsi"/>
          <w:bCs/>
          <w:i/>
          <w:color w:val="000000"/>
          <w:lang w:eastAsia="es-CL"/>
        </w:rPr>
        <w:t xml:space="preserve">(datos </w:t>
      </w:r>
      <w:r>
        <w:rPr>
          <w:rFonts w:eastAsia="Times New Roman" w:cstheme="minorHAnsi"/>
          <w:bCs/>
          <w:i/>
          <w:color w:val="000000"/>
          <w:lang w:eastAsia="es-CL"/>
        </w:rPr>
        <w:t>hasta IFE de</w:t>
      </w:r>
      <w:r w:rsidRPr="0060294D">
        <w:rPr>
          <w:rFonts w:eastAsia="Times New Roman" w:cstheme="minorHAnsi"/>
          <w:bCs/>
          <w:i/>
          <w:color w:val="000000"/>
          <w:lang w:eastAsia="es-CL"/>
        </w:rPr>
        <w:t xml:space="preserve"> </w:t>
      </w:r>
      <w:r w:rsidR="00355612">
        <w:rPr>
          <w:rFonts w:eastAsia="Times New Roman" w:cstheme="minorHAnsi"/>
          <w:bCs/>
          <w:i/>
          <w:color w:val="000000"/>
          <w:lang w:eastAsia="es-CL"/>
        </w:rPr>
        <w:t>noviembre</w:t>
      </w:r>
      <w:r w:rsidR="00E64FED" w:rsidRPr="0060294D">
        <w:rPr>
          <w:rFonts w:eastAsia="Times New Roman" w:cstheme="minorHAnsi"/>
          <w:bCs/>
          <w:i/>
          <w:color w:val="000000"/>
          <w:lang w:eastAsia="es-CL"/>
        </w:rPr>
        <w:t xml:space="preserve"> </w:t>
      </w:r>
      <w:r w:rsidRPr="0060294D">
        <w:rPr>
          <w:rFonts w:eastAsia="Times New Roman" w:cstheme="minorHAnsi"/>
          <w:bCs/>
          <w:i/>
          <w:color w:val="000000"/>
          <w:lang w:eastAsia="es-CL"/>
        </w:rPr>
        <w:t>2021)</w:t>
      </w:r>
    </w:p>
    <w:tbl>
      <w:tblPr>
        <w:tblW w:w="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1762"/>
        <w:gridCol w:w="976"/>
      </w:tblGrid>
      <w:tr w:rsidR="005D3C94" w:rsidRPr="005D3C94" w14:paraId="0136564E" w14:textId="77777777" w:rsidTr="002C54A1">
        <w:trPr>
          <w:trHeight w:val="525"/>
          <w:jc w:val="center"/>
        </w:trPr>
        <w:tc>
          <w:tcPr>
            <w:tcW w:w="1434" w:type="dxa"/>
            <w:shd w:val="clear" w:color="000000" w:fill="BFBFBF"/>
            <w:vAlign w:val="center"/>
            <w:hideMark/>
          </w:tcPr>
          <w:p w14:paraId="119DE3B5" w14:textId="77777777" w:rsidR="005D3C94" w:rsidRPr="005D3C94" w:rsidRDefault="005D3C94" w:rsidP="005D3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Tramo CSE</w:t>
            </w:r>
          </w:p>
        </w:tc>
        <w:tc>
          <w:tcPr>
            <w:tcW w:w="1762" w:type="dxa"/>
            <w:shd w:val="clear" w:color="000000" w:fill="BFBFBF"/>
            <w:vAlign w:val="center"/>
            <w:hideMark/>
          </w:tcPr>
          <w:p w14:paraId="7135644D" w14:textId="77777777" w:rsidR="005D3C94" w:rsidRPr="005D3C94" w:rsidRDefault="005D3C94" w:rsidP="005D3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Al menos un aporte</w:t>
            </w:r>
          </w:p>
        </w:tc>
        <w:tc>
          <w:tcPr>
            <w:tcW w:w="976" w:type="dxa"/>
            <w:shd w:val="clear" w:color="000000" w:fill="BFBFBF"/>
            <w:vAlign w:val="center"/>
            <w:hideMark/>
          </w:tcPr>
          <w:p w14:paraId="2855DE1A" w14:textId="77777777" w:rsidR="005D3C94" w:rsidRPr="005D3C94" w:rsidRDefault="005D3C94" w:rsidP="005D3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N° promedio de pagos</w:t>
            </w:r>
          </w:p>
        </w:tc>
      </w:tr>
      <w:tr w:rsidR="00CC79FD" w:rsidRPr="005D3C94" w14:paraId="7A2E589B" w14:textId="77777777" w:rsidTr="002C54A1">
        <w:trPr>
          <w:trHeight w:val="315"/>
          <w:jc w:val="center"/>
        </w:trPr>
        <w:tc>
          <w:tcPr>
            <w:tcW w:w="1434" w:type="dxa"/>
            <w:shd w:val="clear" w:color="auto" w:fill="auto"/>
            <w:vAlign w:val="center"/>
            <w:hideMark/>
          </w:tcPr>
          <w:p w14:paraId="1C998D0F" w14:textId="77777777" w:rsidR="00CC79FD" w:rsidRPr="005D3C94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(0-40%)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14:paraId="49C53E0F" w14:textId="2212B3B4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4.558.560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EEAA0FA" w14:textId="6F58FFD6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12,2</w:t>
            </w:r>
          </w:p>
        </w:tc>
      </w:tr>
      <w:tr w:rsidR="00CC79FD" w:rsidRPr="005D3C94" w14:paraId="6FCAA41C" w14:textId="77777777" w:rsidTr="002C54A1">
        <w:trPr>
          <w:trHeight w:val="315"/>
          <w:jc w:val="center"/>
        </w:trPr>
        <w:tc>
          <w:tcPr>
            <w:tcW w:w="1434" w:type="dxa"/>
            <w:shd w:val="clear" w:color="auto" w:fill="auto"/>
            <w:vAlign w:val="center"/>
            <w:hideMark/>
          </w:tcPr>
          <w:p w14:paraId="5F0A1E94" w14:textId="77777777" w:rsidR="00CC79FD" w:rsidRPr="005D3C94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(41-50%)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14:paraId="2243FFBD" w14:textId="46C564E8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664.071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5B6C5AF" w14:textId="5F60C8C7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10,1</w:t>
            </w:r>
          </w:p>
        </w:tc>
      </w:tr>
      <w:tr w:rsidR="00CC79FD" w:rsidRPr="005D3C94" w14:paraId="6134A58A" w14:textId="77777777" w:rsidTr="002C54A1">
        <w:trPr>
          <w:trHeight w:val="315"/>
          <w:jc w:val="center"/>
        </w:trPr>
        <w:tc>
          <w:tcPr>
            <w:tcW w:w="1434" w:type="dxa"/>
            <w:shd w:val="clear" w:color="auto" w:fill="auto"/>
            <w:vAlign w:val="center"/>
            <w:hideMark/>
          </w:tcPr>
          <w:p w14:paraId="4C06C8B2" w14:textId="77777777" w:rsidR="00CC79FD" w:rsidRPr="005D3C94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(51-60%)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14:paraId="3B4E3EB0" w14:textId="40858ACE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568.285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3C7C09A" w14:textId="18075208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9,1</w:t>
            </w:r>
          </w:p>
        </w:tc>
      </w:tr>
      <w:tr w:rsidR="00CC79FD" w:rsidRPr="005D3C94" w14:paraId="4AC58435" w14:textId="77777777" w:rsidTr="002C54A1">
        <w:trPr>
          <w:trHeight w:val="315"/>
          <w:jc w:val="center"/>
        </w:trPr>
        <w:tc>
          <w:tcPr>
            <w:tcW w:w="1434" w:type="dxa"/>
            <w:shd w:val="clear" w:color="auto" w:fill="auto"/>
            <w:vAlign w:val="center"/>
            <w:hideMark/>
          </w:tcPr>
          <w:p w14:paraId="3BBF97EB" w14:textId="77777777" w:rsidR="00CC79FD" w:rsidRPr="005D3C94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(61-70%)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14:paraId="4033E4B8" w14:textId="4ADECF53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604.673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1DA3239" w14:textId="38EC5381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8,2</w:t>
            </w:r>
          </w:p>
        </w:tc>
      </w:tr>
      <w:tr w:rsidR="00CC79FD" w:rsidRPr="005D3C94" w14:paraId="4CC3EA13" w14:textId="77777777" w:rsidTr="002C54A1">
        <w:trPr>
          <w:trHeight w:val="315"/>
          <w:jc w:val="center"/>
        </w:trPr>
        <w:tc>
          <w:tcPr>
            <w:tcW w:w="1434" w:type="dxa"/>
            <w:shd w:val="clear" w:color="auto" w:fill="auto"/>
            <w:vAlign w:val="center"/>
            <w:hideMark/>
          </w:tcPr>
          <w:p w14:paraId="166DB462" w14:textId="77777777" w:rsidR="00CC79FD" w:rsidRPr="005D3C94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(71-80%)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14:paraId="09ADBFE3" w14:textId="4932F708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677.507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9A7285A" w14:textId="32258B33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7,6</w:t>
            </w:r>
          </w:p>
        </w:tc>
      </w:tr>
      <w:tr w:rsidR="00CC79FD" w:rsidRPr="005D3C94" w14:paraId="0527AA60" w14:textId="77777777" w:rsidTr="002C54A1">
        <w:trPr>
          <w:trHeight w:val="315"/>
          <w:jc w:val="center"/>
        </w:trPr>
        <w:tc>
          <w:tcPr>
            <w:tcW w:w="1434" w:type="dxa"/>
            <w:shd w:val="clear" w:color="auto" w:fill="auto"/>
            <w:vAlign w:val="center"/>
            <w:hideMark/>
          </w:tcPr>
          <w:p w14:paraId="12F7AB87" w14:textId="77777777" w:rsidR="00CC79FD" w:rsidRPr="005D3C94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(81-90%)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14:paraId="427C1E9A" w14:textId="4B3AFEFE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998.031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EAEDB81" w14:textId="4856CD63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6,6</w:t>
            </w:r>
          </w:p>
        </w:tc>
      </w:tr>
      <w:tr w:rsidR="00CC79FD" w:rsidRPr="005D3C94" w14:paraId="15808D74" w14:textId="77777777" w:rsidTr="002C54A1">
        <w:trPr>
          <w:trHeight w:val="315"/>
          <w:jc w:val="center"/>
        </w:trPr>
        <w:tc>
          <w:tcPr>
            <w:tcW w:w="1434" w:type="dxa"/>
            <w:shd w:val="clear" w:color="auto" w:fill="auto"/>
            <w:vAlign w:val="center"/>
            <w:hideMark/>
          </w:tcPr>
          <w:p w14:paraId="5DBFD56D" w14:textId="77777777" w:rsidR="00CC79FD" w:rsidRPr="005D3C94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(91-100%)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14:paraId="236BAB6A" w14:textId="177D1D01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303.969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749BBBCD" w14:textId="560F60C3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5,9</w:t>
            </w:r>
          </w:p>
        </w:tc>
      </w:tr>
      <w:tr w:rsidR="00CC79FD" w:rsidRPr="005D3C94" w14:paraId="6959AAFD" w14:textId="77777777" w:rsidTr="002C54A1">
        <w:trPr>
          <w:trHeight w:val="315"/>
          <w:jc w:val="center"/>
        </w:trPr>
        <w:tc>
          <w:tcPr>
            <w:tcW w:w="1434" w:type="dxa"/>
            <w:shd w:val="clear" w:color="auto" w:fill="auto"/>
            <w:vAlign w:val="center"/>
            <w:hideMark/>
          </w:tcPr>
          <w:p w14:paraId="7FBF56DB" w14:textId="77777777" w:rsidR="00CC79FD" w:rsidRPr="005D3C94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5D3C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14:paraId="6A7406D8" w14:textId="4A53BE90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00376CE8" w14:textId="2A242229" w:rsidR="00CC79FD" w:rsidRPr="00CC79FD" w:rsidRDefault="00CC79FD" w:rsidP="00CC7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79FD">
              <w:rPr>
                <w:rFonts w:ascii="Calibri" w:hAnsi="Calibri" w:cs="Calibri"/>
                <w:color w:val="000000"/>
                <w:sz w:val="20"/>
                <w:szCs w:val="20"/>
              </w:rPr>
              <w:t>10,</w:t>
            </w:r>
            <w:r w:rsidR="00C4096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</w:tbl>
    <w:p w14:paraId="172A32B2" w14:textId="1FB43AA8" w:rsidR="00E2453D" w:rsidRDefault="00E40210" w:rsidP="00E64FED">
      <w:pPr>
        <w:spacing w:after="24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es-CL"/>
        </w:rPr>
      </w:pPr>
      <w:r w:rsidRPr="00CE4E78">
        <w:rPr>
          <w:rFonts w:eastAsia="Times New Roman" w:cstheme="minorHAnsi"/>
          <w:color w:val="000000"/>
          <w:sz w:val="18"/>
          <w:szCs w:val="18"/>
          <w:lang w:eastAsia="es-CL"/>
        </w:rPr>
        <w:lastRenderedPageBreak/>
        <w:t>Fuente:</w:t>
      </w:r>
      <w:r w:rsidR="00640049" w:rsidRPr="00CE4E78">
        <w:rPr>
          <w:sz w:val="18"/>
          <w:szCs w:val="18"/>
        </w:rPr>
        <w:t xml:space="preserve"> </w:t>
      </w:r>
      <w:r w:rsidR="00640049" w:rsidRPr="00CE4E78">
        <w:rPr>
          <w:rFonts w:eastAsia="Times New Roman" w:cstheme="minorHAnsi"/>
          <w:color w:val="000000"/>
          <w:sz w:val="18"/>
          <w:szCs w:val="18"/>
          <w:lang w:eastAsia="es-CL"/>
        </w:rPr>
        <w:t>Subsecretaría de Evaluación Social – MDSF.</w:t>
      </w:r>
    </w:p>
    <w:p w14:paraId="603AF68D" w14:textId="77777777" w:rsidR="00D0396E" w:rsidRPr="00CE4E78" w:rsidRDefault="00D0396E" w:rsidP="00640049">
      <w:pPr>
        <w:spacing w:after="24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es-CL"/>
        </w:rPr>
      </w:pPr>
    </w:p>
    <w:p w14:paraId="01397615" w14:textId="7F952910" w:rsidR="007318D0" w:rsidRDefault="008D35B1" w:rsidP="00BE0A1A">
      <w:pPr>
        <w:spacing w:after="240" w:line="240" w:lineRule="auto"/>
        <w:jc w:val="both"/>
        <w:rPr>
          <w:rFonts w:eastAsia="Times New Roman" w:cstheme="minorHAnsi"/>
          <w:b/>
          <w:color w:val="000000"/>
          <w:lang w:eastAsia="es-CL"/>
        </w:rPr>
      </w:pPr>
      <w:r w:rsidRPr="008D35B1">
        <w:rPr>
          <w:rFonts w:eastAsia="Times New Roman" w:cstheme="minorHAnsi"/>
          <w:color w:val="000000"/>
          <w:lang w:eastAsia="es-CL"/>
        </w:rPr>
        <w:t>1</w:t>
      </w:r>
      <w:r w:rsidR="00B93252">
        <w:rPr>
          <w:rFonts w:eastAsia="Times New Roman" w:cstheme="minorHAnsi"/>
          <w:color w:val="000000"/>
          <w:lang w:eastAsia="es-CL"/>
        </w:rPr>
        <w:t>2</w:t>
      </w:r>
      <w:r w:rsidRPr="008D35B1">
        <w:rPr>
          <w:rFonts w:eastAsia="Times New Roman" w:cstheme="minorHAnsi"/>
          <w:color w:val="000000"/>
          <w:lang w:eastAsia="es-CL"/>
        </w:rPr>
        <w:t xml:space="preserve">.- </w:t>
      </w:r>
      <w:r w:rsidRPr="008D35B1">
        <w:rPr>
          <w:rFonts w:eastAsia="Times New Roman" w:cstheme="minorHAnsi"/>
          <w:b/>
          <w:color w:val="000000"/>
          <w:lang w:eastAsia="es-CL"/>
        </w:rPr>
        <w:t>Impacto reconocido</w:t>
      </w:r>
      <w:r w:rsidR="007318D0">
        <w:rPr>
          <w:rFonts w:eastAsia="Times New Roman" w:cstheme="minorHAnsi"/>
          <w:b/>
          <w:color w:val="000000"/>
          <w:lang w:eastAsia="es-CL"/>
        </w:rPr>
        <w:t xml:space="preserve">: </w:t>
      </w:r>
    </w:p>
    <w:p w14:paraId="1473A43A" w14:textId="3AC9077F" w:rsidR="008D35B1" w:rsidRPr="008D35B1" w:rsidRDefault="007318D0" w:rsidP="008D35B1">
      <w:pPr>
        <w:spacing w:before="240" w:after="240" w:line="240" w:lineRule="auto"/>
        <w:jc w:val="both"/>
        <w:rPr>
          <w:rFonts w:eastAsia="Times New Roman" w:cstheme="minorHAnsi"/>
          <w:lang w:eastAsia="es-CL"/>
        </w:rPr>
      </w:pPr>
      <w:r w:rsidRPr="007318D0">
        <w:rPr>
          <w:rFonts w:eastAsia="Times New Roman" w:cstheme="minorHAnsi"/>
          <w:color w:val="000000"/>
          <w:lang w:eastAsia="es-CL"/>
        </w:rPr>
        <w:t>Según CEPAL</w:t>
      </w:r>
      <w:r w:rsidR="00C4472B">
        <w:rPr>
          <w:rStyle w:val="Refdenotaalpie"/>
          <w:rFonts w:eastAsia="Times New Roman" w:cstheme="minorHAnsi"/>
          <w:color w:val="000000"/>
          <w:lang w:eastAsia="es-CL"/>
        </w:rPr>
        <w:footnoteReference w:id="3"/>
      </w:r>
      <w:r w:rsidRPr="007318D0">
        <w:rPr>
          <w:rFonts w:eastAsia="Times New Roman" w:cstheme="minorHAnsi"/>
          <w:color w:val="000000"/>
          <w:lang w:eastAsia="es-CL"/>
        </w:rPr>
        <w:t xml:space="preserve">, </w:t>
      </w:r>
      <w:r w:rsidR="003C7A64">
        <w:rPr>
          <w:rFonts w:eastAsia="Times New Roman" w:cstheme="minorHAnsi"/>
          <w:color w:val="000000"/>
          <w:lang w:eastAsia="es-CL"/>
        </w:rPr>
        <w:t>sin la implementación de las transferencias de emergencia</w:t>
      </w:r>
      <w:r w:rsidR="00C4472B">
        <w:rPr>
          <w:rFonts w:eastAsia="Times New Roman" w:cstheme="minorHAnsi"/>
          <w:color w:val="000000"/>
          <w:lang w:eastAsia="es-CL"/>
        </w:rPr>
        <w:t xml:space="preserve">, considerando Bono Covid-19 e Ingreso Familiar de Emergencia, </w:t>
      </w:r>
      <w:r w:rsidR="003C7A64">
        <w:rPr>
          <w:rFonts w:eastAsia="Times New Roman" w:cstheme="minorHAnsi"/>
          <w:color w:val="000000"/>
          <w:lang w:eastAsia="es-CL"/>
        </w:rPr>
        <w:t>el aumento de la pobreza extrema y la pobreza habría sido mayor, pudiendo haber alcanzado 5,9% y 12,7%</w:t>
      </w:r>
      <w:r w:rsidR="00481864">
        <w:rPr>
          <w:rFonts w:eastAsia="Times New Roman" w:cstheme="minorHAnsi"/>
          <w:color w:val="000000"/>
          <w:lang w:eastAsia="es-CL"/>
        </w:rPr>
        <w:t xml:space="preserve">, comparado con 4,3% y 10,8%, </w:t>
      </w:r>
      <w:r w:rsidR="003C7A64">
        <w:rPr>
          <w:rFonts w:eastAsia="Times New Roman" w:cstheme="minorHAnsi"/>
          <w:color w:val="000000"/>
          <w:lang w:eastAsia="es-CL"/>
        </w:rPr>
        <w:t>respectivamente. Además, indican que la desigualdad del ingreso también habría sido mayor, ya que el índice de Gini sin considerar estas fuentes alcanza 0,475, es decir, un 2,7% más que el valor efectivamente registrado en 2020, incluyendo las transferencias.</w:t>
      </w:r>
    </w:p>
    <w:p w14:paraId="69B30F20" w14:textId="102A7AA9" w:rsidR="007318D0" w:rsidRDefault="003C7A64" w:rsidP="007318D0">
      <w:pPr>
        <w:spacing w:after="0" w:line="240" w:lineRule="auto"/>
        <w:jc w:val="center"/>
        <w:rPr>
          <w:rFonts w:eastAsia="Times New Roman" w:cstheme="minorHAnsi"/>
          <w:color w:val="000000"/>
          <w:lang w:eastAsia="es-CL"/>
        </w:rPr>
      </w:pPr>
      <w:r>
        <w:rPr>
          <w:noProof/>
          <w:lang w:eastAsia="es-CL"/>
        </w:rPr>
        <w:drawing>
          <wp:inline distT="0" distB="0" distL="0" distR="0" wp14:anchorId="39C3D20B" wp14:editId="285DB3E2">
            <wp:extent cx="5372100" cy="2266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25EE" w14:textId="2639B372" w:rsidR="008D35B1" w:rsidRPr="008D35B1" w:rsidRDefault="00422392" w:rsidP="007318D0">
      <w:pPr>
        <w:spacing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En </w:t>
      </w:r>
      <w:r w:rsidR="00E71C64">
        <w:rPr>
          <w:rFonts w:eastAsia="Times New Roman" w:cstheme="minorHAnsi"/>
          <w:color w:val="000000"/>
          <w:lang w:eastAsia="es-CL"/>
        </w:rPr>
        <w:t xml:space="preserve">la misma </w:t>
      </w:r>
      <w:r>
        <w:rPr>
          <w:rFonts w:eastAsia="Times New Roman" w:cstheme="minorHAnsi"/>
          <w:color w:val="000000"/>
          <w:lang w:eastAsia="es-CL"/>
        </w:rPr>
        <w:t>línea</w:t>
      </w:r>
      <w:r w:rsidR="008D35B1" w:rsidRPr="008D35B1">
        <w:rPr>
          <w:rFonts w:eastAsia="Times New Roman" w:cstheme="minorHAnsi"/>
          <w:color w:val="000000"/>
          <w:lang w:eastAsia="es-CL"/>
        </w:rPr>
        <w:t xml:space="preserve">, de acuerdo a estimaciones del Banco Mundial, </w:t>
      </w:r>
      <w:r w:rsidR="008D35B1" w:rsidRPr="008D35B1">
        <w:rPr>
          <w:rFonts w:eastAsia="Times New Roman" w:cstheme="minorHAnsi"/>
          <w:b/>
          <w:bCs/>
          <w:color w:val="000000"/>
          <w:lang w:eastAsia="es-CL"/>
        </w:rPr>
        <w:t>el IFE es la medida que más contribuyó a mitigar el efecto de la pandemia en la pobreza</w:t>
      </w:r>
      <w:r>
        <w:rPr>
          <w:rStyle w:val="Refdenotaalpie"/>
          <w:rFonts w:eastAsia="Times New Roman" w:cstheme="minorHAnsi"/>
          <w:b/>
          <w:bCs/>
          <w:color w:val="000000"/>
          <w:lang w:eastAsia="es-CL"/>
        </w:rPr>
        <w:footnoteReference w:id="4"/>
      </w:r>
      <w:r w:rsidR="008D35B1" w:rsidRPr="008D35B1">
        <w:rPr>
          <w:rFonts w:eastAsia="Times New Roman" w:cstheme="minorHAnsi"/>
          <w:b/>
          <w:bCs/>
          <w:color w:val="000000"/>
          <w:lang w:eastAsia="es-CL"/>
        </w:rPr>
        <w:t>.</w:t>
      </w:r>
    </w:p>
    <w:p w14:paraId="0BE517C5" w14:textId="77777777" w:rsidR="008D35B1" w:rsidRPr="008D35B1" w:rsidRDefault="008D35B1" w:rsidP="00471F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1518A412" wp14:editId="44F498B6">
            <wp:extent cx="5172075" cy="2955472"/>
            <wp:effectExtent l="0" t="0" r="0" b="0"/>
            <wp:docPr id="1" name="Imagen 1" descr="https://lh3.googleusercontent.com/akRmFMIi1LpAnKLz7OAXrAztQrV7ox5ddLNXyVg1UNfJP2A5sT3YnGxVUX4hrAVBE6uwQgxLccSRvasSB_XNLBMZkOW-4hINXZSjQp7ugdanWWi9H7Qylqf33sEtE-s-tY2dvmj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9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F0D89" w14:textId="17EAF703" w:rsidR="007636EB" w:rsidRDefault="008D35B1" w:rsidP="007318D0">
      <w:pPr>
        <w:spacing w:before="240" w:after="240" w:line="240" w:lineRule="auto"/>
        <w:jc w:val="both"/>
        <w:rPr>
          <w:rFonts w:eastAsia="Times New Roman" w:cstheme="minorHAnsi"/>
          <w:b/>
          <w:color w:val="000000"/>
          <w:lang w:eastAsia="es-CL"/>
        </w:rPr>
      </w:pPr>
      <w:r w:rsidRPr="008D35B1">
        <w:rPr>
          <w:rFonts w:eastAsia="Times New Roman" w:cstheme="minorHAnsi"/>
          <w:color w:val="000000"/>
          <w:lang w:eastAsia="es-CL"/>
        </w:rPr>
        <w:t>Además, cuando se analiza el grupo de transferencias que van dirigidas a los trabajadores informales y otros trabajadores vulnerables -como lo es el IFE</w:t>
      </w:r>
      <w:r w:rsidRPr="008D35B1">
        <w:rPr>
          <w:rFonts w:eastAsia="Times New Roman" w:cstheme="minorHAnsi"/>
          <w:b/>
          <w:color w:val="000000"/>
          <w:lang w:eastAsia="es-CL"/>
        </w:rPr>
        <w:t>-, Chile es uno de los tres países con el monto por hogar total más alto de la región</w:t>
      </w:r>
      <w:r w:rsidRPr="008D35B1">
        <w:rPr>
          <w:rFonts w:eastAsia="Times New Roman" w:cstheme="minorHAnsi"/>
          <w:color w:val="000000"/>
          <w:lang w:eastAsia="es-CL"/>
        </w:rPr>
        <w:t xml:space="preserve">, junto con Brasil, cuyo aporte tuvo una duración de nueve meses, y de Costa Rica, con una duración de tres meses. Adicionalmente, al momento de </w:t>
      </w:r>
      <w:r w:rsidRPr="008D35B1">
        <w:rPr>
          <w:rFonts w:eastAsia="Times New Roman" w:cstheme="minorHAnsi"/>
          <w:b/>
          <w:color w:val="000000"/>
          <w:lang w:eastAsia="es-CL"/>
        </w:rPr>
        <w:t>analizar el monto mensual promedio por receptor, Chile es el país con el mayor valor de la región.</w:t>
      </w:r>
    </w:p>
    <w:p w14:paraId="2C12FA98" w14:textId="18A6319E" w:rsidR="007636EB" w:rsidRDefault="007636EB" w:rsidP="007318D0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En el apartado sobre Chile del Macro Poverty Outlook, publicado en octubre de 2021, el Banco Mundial estima que la tasa nacional de pobreza cae de 10,8% en 2020 a 2,5% en 2021, y que el Índice de Gini disminuye de 0,44 en 2020 a 0,39 en 2021. Lo anterior </w:t>
      </w:r>
      <w:r w:rsidR="003C14BD">
        <w:rPr>
          <w:rFonts w:eastAsia="Times New Roman" w:cstheme="minorHAnsi"/>
          <w:color w:val="000000"/>
          <w:lang w:eastAsia="es-CL"/>
        </w:rPr>
        <w:t>debido principalmente a</w:t>
      </w:r>
      <w:r>
        <w:rPr>
          <w:rFonts w:eastAsia="Times New Roman" w:cstheme="minorHAnsi"/>
          <w:color w:val="000000"/>
          <w:lang w:eastAsia="es-CL"/>
        </w:rPr>
        <w:t xml:space="preserve"> las medidas de protección social en emergencia, dentro de las cuales el IFE </w:t>
      </w:r>
      <w:r w:rsidR="003C14BD">
        <w:rPr>
          <w:rFonts w:eastAsia="Times New Roman" w:cstheme="minorHAnsi"/>
          <w:color w:val="000000"/>
          <w:lang w:eastAsia="es-CL"/>
        </w:rPr>
        <w:t>es el principal protagonista.</w:t>
      </w:r>
    </w:p>
    <w:p w14:paraId="49E74CD3" w14:textId="703DFBAE" w:rsidR="007636EB" w:rsidRPr="00BA36B1" w:rsidRDefault="007636EB" w:rsidP="00BA36B1">
      <w:pPr>
        <w:spacing w:before="240" w:after="240" w:line="240" w:lineRule="auto"/>
        <w:jc w:val="center"/>
        <w:rPr>
          <w:rFonts w:eastAsia="Times New Roman" w:cstheme="minorHAnsi"/>
          <w:color w:val="000000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14ED3AEC" wp14:editId="6BFA3B2F">
            <wp:extent cx="4086225" cy="3800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351D4" w14:textId="2603CD68" w:rsidR="0013667F" w:rsidRDefault="0013667F" w:rsidP="007318D0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es-CL"/>
        </w:rPr>
      </w:pPr>
      <w:r w:rsidRPr="0013667F">
        <w:rPr>
          <w:rFonts w:eastAsia="Times New Roman" w:cstheme="minorHAnsi"/>
          <w:color w:val="000000"/>
          <w:lang w:eastAsia="es-CL"/>
        </w:rPr>
        <w:t xml:space="preserve">Por último, en la presentación del IPOM de junio 2021, </w:t>
      </w:r>
      <w:r>
        <w:rPr>
          <w:rFonts w:eastAsia="Times New Roman" w:cstheme="minorHAnsi"/>
          <w:color w:val="000000"/>
          <w:lang w:eastAsia="es-CL"/>
        </w:rPr>
        <w:t>el presidente del Banco Central destacó que</w:t>
      </w:r>
      <w:r w:rsidRPr="0013667F">
        <w:rPr>
          <w:rFonts w:eastAsia="Times New Roman" w:cstheme="minorHAnsi"/>
          <w:color w:val="000000"/>
          <w:lang w:eastAsia="es-CL"/>
        </w:rPr>
        <w:t>, al hacer una comparación internacional, las transferencias entregadas en Chile son muy significativas</w:t>
      </w:r>
      <w:r>
        <w:rPr>
          <w:rFonts w:eastAsia="Times New Roman" w:cstheme="minorHAnsi"/>
          <w:color w:val="000000"/>
          <w:lang w:eastAsia="es-CL"/>
        </w:rPr>
        <w:t xml:space="preserve"> en términos de su duración y tamaño promedio</w:t>
      </w:r>
      <w:r w:rsidRPr="0013667F">
        <w:rPr>
          <w:rFonts w:eastAsia="Times New Roman" w:cstheme="minorHAnsi"/>
          <w:color w:val="000000"/>
          <w:lang w:eastAsia="es-CL"/>
        </w:rPr>
        <w:t>.</w:t>
      </w:r>
      <w:bookmarkStart w:id="0" w:name="_GoBack"/>
      <w:bookmarkEnd w:id="0"/>
    </w:p>
    <w:p w14:paraId="0FB66A18" w14:textId="77777777" w:rsidR="0013667F" w:rsidRDefault="0013667F" w:rsidP="0013667F">
      <w:pPr>
        <w:spacing w:before="240" w:after="240" w:line="240" w:lineRule="auto"/>
        <w:contextualSpacing/>
        <w:jc w:val="both"/>
        <w:rPr>
          <w:rFonts w:eastAsia="Times New Roman" w:cstheme="minorHAnsi"/>
          <w:color w:val="000000"/>
          <w:lang w:eastAsia="es-CL"/>
        </w:rPr>
      </w:pPr>
      <w:r>
        <w:rPr>
          <w:noProof/>
          <w:lang w:eastAsia="es-CL"/>
        </w:rPr>
        <w:drawing>
          <wp:inline distT="0" distB="0" distL="0" distR="0" wp14:anchorId="7B6E9E9E" wp14:editId="210AFFCA">
            <wp:extent cx="5612130" cy="239585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429C" w14:textId="095289EC" w:rsidR="0013667F" w:rsidRDefault="0013667F" w:rsidP="0013667F">
      <w:pPr>
        <w:spacing w:before="240" w:after="240" w:line="240" w:lineRule="auto"/>
        <w:contextualSpacing/>
        <w:jc w:val="center"/>
        <w:rPr>
          <w:rFonts w:eastAsia="Times New Roman" w:cstheme="minorHAnsi"/>
          <w:color w:val="000000"/>
          <w:sz w:val="18"/>
          <w:lang w:eastAsia="es-CL"/>
        </w:rPr>
      </w:pPr>
      <w:r w:rsidRPr="0013667F">
        <w:rPr>
          <w:rFonts w:eastAsia="Times New Roman" w:cstheme="minorHAnsi"/>
          <w:color w:val="000000"/>
          <w:sz w:val="18"/>
          <w:lang w:eastAsia="es-CL"/>
        </w:rPr>
        <w:t>Fuente: Presentación de Mario Marcel, Presidente del Banco Central de Chile, vía teleconferencia en el seminario “IPoM junio 2021: coyuntura económica y perspectivas”, organizado por Icare Santiago, 10 de junio del 2021</w:t>
      </w:r>
    </w:p>
    <w:p w14:paraId="21C6B721" w14:textId="24329B8B" w:rsidR="00A414FE" w:rsidRPr="00305919" w:rsidRDefault="00A414FE" w:rsidP="00EE72FC">
      <w:pPr>
        <w:spacing w:after="240" w:line="240" w:lineRule="auto"/>
        <w:jc w:val="both"/>
        <w:textAlignment w:val="baseline"/>
        <w:rPr>
          <w:rFonts w:cstheme="minorHAnsi"/>
        </w:rPr>
      </w:pPr>
    </w:p>
    <w:sectPr w:rsidR="00A414FE" w:rsidRPr="00305919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1CDAE" w16cex:dateUtc="2021-12-01T13:32:00Z"/>
  <w16cex:commentExtensible w16cex:durableId="2551D3D8" w16cex:dateUtc="2021-12-01T13:58:00Z"/>
  <w16cex:commentExtensible w16cex:durableId="2554C831" w16cex:dateUtc="2021-12-03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18F246" w16cid:durableId="2551CDAE"/>
  <w16cid:commentId w16cid:paraId="5A93EF26" w16cid:durableId="2551D3D8"/>
  <w16cid:commentId w16cid:paraId="30C76944" w16cid:durableId="2554C8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484C" w14:textId="77777777" w:rsidR="009E6FDC" w:rsidRDefault="009E6FDC" w:rsidP="006F677E">
      <w:pPr>
        <w:spacing w:after="0" w:line="240" w:lineRule="auto"/>
      </w:pPr>
      <w:r>
        <w:separator/>
      </w:r>
    </w:p>
  </w:endnote>
  <w:endnote w:type="continuationSeparator" w:id="0">
    <w:p w14:paraId="632B2C49" w14:textId="77777777" w:rsidR="009E6FDC" w:rsidRDefault="009E6FDC" w:rsidP="006F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676628"/>
      <w:docPartObj>
        <w:docPartGallery w:val="Page Numbers (Bottom of Page)"/>
        <w:docPartUnique/>
      </w:docPartObj>
    </w:sdtPr>
    <w:sdtEndPr/>
    <w:sdtContent>
      <w:p w14:paraId="231F28B5" w14:textId="0DD01DF5" w:rsidR="00F53B91" w:rsidRDefault="00F53B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FC" w:rsidRPr="00EE72FC">
          <w:rPr>
            <w:noProof/>
            <w:lang w:val="es-ES"/>
          </w:rPr>
          <w:t>2</w:t>
        </w:r>
        <w:r>
          <w:fldChar w:fldCharType="end"/>
        </w:r>
      </w:p>
    </w:sdtContent>
  </w:sdt>
  <w:p w14:paraId="3805C484" w14:textId="77777777" w:rsidR="00F53B91" w:rsidRDefault="00F53B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C8FC5" w14:textId="77777777" w:rsidR="009E6FDC" w:rsidRDefault="009E6FDC" w:rsidP="006F677E">
      <w:pPr>
        <w:spacing w:after="0" w:line="240" w:lineRule="auto"/>
      </w:pPr>
      <w:r>
        <w:separator/>
      </w:r>
    </w:p>
  </w:footnote>
  <w:footnote w:type="continuationSeparator" w:id="0">
    <w:p w14:paraId="6BAFBB48" w14:textId="77777777" w:rsidR="009E6FDC" w:rsidRDefault="009E6FDC" w:rsidP="006F677E">
      <w:pPr>
        <w:spacing w:after="0" w:line="240" w:lineRule="auto"/>
      </w:pPr>
      <w:r>
        <w:continuationSeparator/>
      </w:r>
    </w:p>
  </w:footnote>
  <w:footnote w:id="1">
    <w:p w14:paraId="7CDAA7D9" w14:textId="48D58CB8" w:rsidR="00F53B91" w:rsidRDefault="00F53B91">
      <w:pPr>
        <w:pStyle w:val="Textonotapie"/>
      </w:pPr>
      <w:r>
        <w:rPr>
          <w:rStyle w:val="Refdenotaalpie"/>
        </w:rPr>
        <w:footnoteRef/>
      </w:r>
      <w:r>
        <w:t xml:space="preserve"> Dólar: $741. Este monto incluye los pagos de IFE Universal a extranjeros. </w:t>
      </w:r>
    </w:p>
  </w:footnote>
  <w:footnote w:id="2">
    <w:p w14:paraId="795B2093" w14:textId="77777777" w:rsidR="00F53B91" w:rsidRPr="00F37371" w:rsidRDefault="00F53B91" w:rsidP="00482C3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37371">
        <w:t>El número de personas considerado para pago en cada grupo-visa se asigna en función del número de integrantes que no han recibido IFE regular al momento de la comprobación de requisitos.</w:t>
      </w:r>
    </w:p>
  </w:footnote>
  <w:footnote w:id="3">
    <w:p w14:paraId="45C4D888" w14:textId="4E10B20E" w:rsidR="00F53B91" w:rsidRDefault="00F53B91">
      <w:pPr>
        <w:pStyle w:val="Textonotapie"/>
      </w:pPr>
      <w:r>
        <w:rPr>
          <w:rStyle w:val="Refdenotaalpie"/>
        </w:rPr>
        <w:footnoteRef/>
      </w:r>
      <w:r>
        <w:t xml:space="preserve"> CEPAL (2021): Medición de los ingresos y la pobreza en Chile, Encuesta CASEN en Pandemia 2020.</w:t>
      </w:r>
    </w:p>
  </w:footnote>
  <w:footnote w:id="4">
    <w:p w14:paraId="52DC64C2" w14:textId="38E8FE4E" w:rsidR="00F53B91" w:rsidRPr="008D35B1" w:rsidRDefault="00F53B91" w:rsidP="00B43C5B">
      <w:pPr>
        <w:spacing w:before="240" w:after="240" w:line="240" w:lineRule="auto"/>
        <w:jc w:val="both"/>
        <w:rPr>
          <w:rFonts w:eastAsia="Times New Roman" w:cstheme="minorHAnsi"/>
          <w:lang w:eastAsia="es-CL"/>
        </w:rPr>
      </w:pPr>
      <w:r>
        <w:rPr>
          <w:rStyle w:val="Refdenotaalpie"/>
        </w:rPr>
        <w:footnoteRef/>
      </w:r>
      <w:r>
        <w:t xml:space="preserve"> </w:t>
      </w:r>
      <w:r w:rsidRPr="007318D0">
        <w:rPr>
          <w:rFonts w:eastAsia="Times New Roman" w:cstheme="minorHAnsi"/>
          <w:color w:val="000000"/>
          <w:lang w:eastAsia="es-CL"/>
        </w:rPr>
        <w:t>Cabe destacar que una respuesta más detallada a</w:t>
      </w:r>
      <w:r>
        <w:rPr>
          <w:rFonts w:eastAsia="Times New Roman" w:cstheme="minorHAnsi"/>
          <w:color w:val="000000"/>
          <w:lang w:eastAsia="es-CL"/>
        </w:rPr>
        <w:t>l efecto del IFE en la pobreza por ingresos</w:t>
      </w:r>
      <w:r w:rsidRPr="007318D0">
        <w:rPr>
          <w:rFonts w:eastAsia="Times New Roman" w:cstheme="minorHAnsi"/>
          <w:color w:val="000000"/>
          <w:lang w:eastAsia="es-CL"/>
        </w:rPr>
        <w:t xml:space="preserve"> se podrá conocer a fines del primer semestre de este año, en cuanto estén disponibles los resultados de Casen en Pandemia 2020.</w:t>
      </w:r>
    </w:p>
    <w:p w14:paraId="672A137A" w14:textId="0F0049F0" w:rsidR="00F53B91" w:rsidRDefault="00F53B91" w:rsidP="00B43C5B">
      <w:pPr>
        <w:pStyle w:val="Textonotapie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D3AB" w14:textId="4F3C2316" w:rsidR="00F53B91" w:rsidRDefault="00F53B91" w:rsidP="006F677E">
    <w:pPr>
      <w:pStyle w:val="Encabezado"/>
      <w:jc w:val="right"/>
    </w:pPr>
    <w:r w:rsidRPr="006F677E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8752" behindDoc="0" locked="0" layoutInCell="1" hidden="0" allowOverlap="1" wp14:anchorId="5009ACB9" wp14:editId="1E340C80">
          <wp:simplePos x="0" y="0"/>
          <wp:positionH relativeFrom="column">
            <wp:posOffset>-466725</wp:posOffset>
          </wp:positionH>
          <wp:positionV relativeFrom="paragraph">
            <wp:posOffset>-314960</wp:posOffset>
          </wp:positionV>
          <wp:extent cx="952500" cy="866140"/>
          <wp:effectExtent l="0" t="0" r="0" b="0"/>
          <wp:wrapNone/>
          <wp:docPr id="2" name="image7.jpg" descr="Ministerio de Desarrollo So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Ministerio de Desarrollo So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31 de noviembre de 2021</w:t>
    </w:r>
  </w:p>
  <w:p w14:paraId="3068175F" w14:textId="77777777" w:rsidR="00F53B91" w:rsidRDefault="00F53B91" w:rsidP="006F677E">
    <w:pPr>
      <w:pStyle w:val="Encabezado"/>
      <w:jc w:val="right"/>
    </w:pPr>
  </w:p>
  <w:p w14:paraId="24555F98" w14:textId="77777777" w:rsidR="00F53B91" w:rsidRDefault="00F53B91" w:rsidP="006F677E">
    <w:pPr>
      <w:pStyle w:val="Encabezado"/>
      <w:jc w:val="right"/>
    </w:pPr>
  </w:p>
  <w:p w14:paraId="7A411A04" w14:textId="77777777" w:rsidR="00F53B91" w:rsidRDefault="00F53B91" w:rsidP="006F6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4D84"/>
    <w:multiLevelType w:val="multilevel"/>
    <w:tmpl w:val="073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B1"/>
    <w:rsid w:val="00002BF0"/>
    <w:rsid w:val="0000781B"/>
    <w:rsid w:val="00010DCE"/>
    <w:rsid w:val="000112B4"/>
    <w:rsid w:val="0001568B"/>
    <w:rsid w:val="00017A71"/>
    <w:rsid w:val="00022C71"/>
    <w:rsid w:val="00027EB1"/>
    <w:rsid w:val="00027F98"/>
    <w:rsid w:val="00034C7A"/>
    <w:rsid w:val="0003638A"/>
    <w:rsid w:val="00036820"/>
    <w:rsid w:val="000463EE"/>
    <w:rsid w:val="00046AF4"/>
    <w:rsid w:val="00046E0B"/>
    <w:rsid w:val="00050A56"/>
    <w:rsid w:val="000547DE"/>
    <w:rsid w:val="0005585D"/>
    <w:rsid w:val="000572C3"/>
    <w:rsid w:val="00057CF6"/>
    <w:rsid w:val="0006209D"/>
    <w:rsid w:val="00067EDE"/>
    <w:rsid w:val="000716F8"/>
    <w:rsid w:val="00074BC5"/>
    <w:rsid w:val="00084177"/>
    <w:rsid w:val="00084D15"/>
    <w:rsid w:val="000920C4"/>
    <w:rsid w:val="00092EC8"/>
    <w:rsid w:val="000B1048"/>
    <w:rsid w:val="000B32E3"/>
    <w:rsid w:val="000B5814"/>
    <w:rsid w:val="000B6157"/>
    <w:rsid w:val="000C1132"/>
    <w:rsid w:val="000C53EE"/>
    <w:rsid w:val="000C62AE"/>
    <w:rsid w:val="000C6A51"/>
    <w:rsid w:val="000D4EF4"/>
    <w:rsid w:val="000D5A33"/>
    <w:rsid w:val="000E2567"/>
    <w:rsid w:val="000E5EBC"/>
    <w:rsid w:val="000E6EAB"/>
    <w:rsid w:val="000F0306"/>
    <w:rsid w:val="000F19D0"/>
    <w:rsid w:val="000F408D"/>
    <w:rsid w:val="000F6856"/>
    <w:rsid w:val="00101EA8"/>
    <w:rsid w:val="00107A4C"/>
    <w:rsid w:val="00110EFE"/>
    <w:rsid w:val="001119E1"/>
    <w:rsid w:val="00111D3E"/>
    <w:rsid w:val="00113491"/>
    <w:rsid w:val="001169BE"/>
    <w:rsid w:val="00120BD5"/>
    <w:rsid w:val="001210E0"/>
    <w:rsid w:val="001228DE"/>
    <w:rsid w:val="001250E3"/>
    <w:rsid w:val="0013070F"/>
    <w:rsid w:val="00130823"/>
    <w:rsid w:val="00134172"/>
    <w:rsid w:val="001348A7"/>
    <w:rsid w:val="0013667F"/>
    <w:rsid w:val="00136C7F"/>
    <w:rsid w:val="00141549"/>
    <w:rsid w:val="001417AF"/>
    <w:rsid w:val="00141DD1"/>
    <w:rsid w:val="00143B6A"/>
    <w:rsid w:val="0015223C"/>
    <w:rsid w:val="00155A8D"/>
    <w:rsid w:val="001579D4"/>
    <w:rsid w:val="00157EC6"/>
    <w:rsid w:val="0016387A"/>
    <w:rsid w:val="00171C11"/>
    <w:rsid w:val="00172BF7"/>
    <w:rsid w:val="001736C8"/>
    <w:rsid w:val="001747F1"/>
    <w:rsid w:val="00176E66"/>
    <w:rsid w:val="00181C4C"/>
    <w:rsid w:val="0018773A"/>
    <w:rsid w:val="00191D7A"/>
    <w:rsid w:val="001958CB"/>
    <w:rsid w:val="00197ABD"/>
    <w:rsid w:val="00197CC5"/>
    <w:rsid w:val="001A02D2"/>
    <w:rsid w:val="001A2ED1"/>
    <w:rsid w:val="001A3EDD"/>
    <w:rsid w:val="001A4D19"/>
    <w:rsid w:val="001A7762"/>
    <w:rsid w:val="001B38C1"/>
    <w:rsid w:val="001B58F7"/>
    <w:rsid w:val="001D6295"/>
    <w:rsid w:val="001E3A39"/>
    <w:rsid w:val="001E3C3F"/>
    <w:rsid w:val="001E6D30"/>
    <w:rsid w:val="001F1EFF"/>
    <w:rsid w:val="001F2347"/>
    <w:rsid w:val="001F787F"/>
    <w:rsid w:val="00200597"/>
    <w:rsid w:val="00202DB1"/>
    <w:rsid w:val="002060D3"/>
    <w:rsid w:val="00213B6B"/>
    <w:rsid w:val="00217BBA"/>
    <w:rsid w:val="00230025"/>
    <w:rsid w:val="00232817"/>
    <w:rsid w:val="00240848"/>
    <w:rsid w:val="00244745"/>
    <w:rsid w:val="00246510"/>
    <w:rsid w:val="002558AB"/>
    <w:rsid w:val="00262884"/>
    <w:rsid w:val="002713E0"/>
    <w:rsid w:val="00271633"/>
    <w:rsid w:val="00271FEF"/>
    <w:rsid w:val="0027610D"/>
    <w:rsid w:val="00276537"/>
    <w:rsid w:val="002809C7"/>
    <w:rsid w:val="00281CF3"/>
    <w:rsid w:val="00283568"/>
    <w:rsid w:val="0028492B"/>
    <w:rsid w:val="0028527A"/>
    <w:rsid w:val="0028596C"/>
    <w:rsid w:val="002935D4"/>
    <w:rsid w:val="00296C5A"/>
    <w:rsid w:val="002A06A8"/>
    <w:rsid w:val="002A6BAE"/>
    <w:rsid w:val="002A72D5"/>
    <w:rsid w:val="002A7464"/>
    <w:rsid w:val="002B0B49"/>
    <w:rsid w:val="002B0C91"/>
    <w:rsid w:val="002B100B"/>
    <w:rsid w:val="002B1517"/>
    <w:rsid w:val="002B4D38"/>
    <w:rsid w:val="002B6E65"/>
    <w:rsid w:val="002C0004"/>
    <w:rsid w:val="002C1039"/>
    <w:rsid w:val="002C1733"/>
    <w:rsid w:val="002C54A1"/>
    <w:rsid w:val="002C6AB8"/>
    <w:rsid w:val="002D2935"/>
    <w:rsid w:val="002D4FC7"/>
    <w:rsid w:val="002D6242"/>
    <w:rsid w:val="002D77F8"/>
    <w:rsid w:val="002E04F9"/>
    <w:rsid w:val="002E1F3C"/>
    <w:rsid w:val="002E23DA"/>
    <w:rsid w:val="002E3A33"/>
    <w:rsid w:val="002E3CDF"/>
    <w:rsid w:val="002E4DA9"/>
    <w:rsid w:val="002F005C"/>
    <w:rsid w:val="002F11FE"/>
    <w:rsid w:val="002F13A5"/>
    <w:rsid w:val="002F2FE8"/>
    <w:rsid w:val="002F3A3D"/>
    <w:rsid w:val="002F6B17"/>
    <w:rsid w:val="003047D0"/>
    <w:rsid w:val="00305915"/>
    <w:rsid w:val="00305919"/>
    <w:rsid w:val="00311EBE"/>
    <w:rsid w:val="00317D5C"/>
    <w:rsid w:val="0032166B"/>
    <w:rsid w:val="00323196"/>
    <w:rsid w:val="00323731"/>
    <w:rsid w:val="00325D7C"/>
    <w:rsid w:val="0033348C"/>
    <w:rsid w:val="003409AD"/>
    <w:rsid w:val="00342C4C"/>
    <w:rsid w:val="00343FDB"/>
    <w:rsid w:val="0035296D"/>
    <w:rsid w:val="00353A91"/>
    <w:rsid w:val="003549C6"/>
    <w:rsid w:val="00354DE0"/>
    <w:rsid w:val="00355612"/>
    <w:rsid w:val="0035726A"/>
    <w:rsid w:val="00360C76"/>
    <w:rsid w:val="003640BF"/>
    <w:rsid w:val="00366300"/>
    <w:rsid w:val="00367EA8"/>
    <w:rsid w:val="00374682"/>
    <w:rsid w:val="003755BB"/>
    <w:rsid w:val="00383593"/>
    <w:rsid w:val="003877FB"/>
    <w:rsid w:val="00390457"/>
    <w:rsid w:val="00391E4F"/>
    <w:rsid w:val="003946FF"/>
    <w:rsid w:val="003A1C2B"/>
    <w:rsid w:val="003A21D3"/>
    <w:rsid w:val="003A7510"/>
    <w:rsid w:val="003B2B5C"/>
    <w:rsid w:val="003B612C"/>
    <w:rsid w:val="003B64AA"/>
    <w:rsid w:val="003C0DB9"/>
    <w:rsid w:val="003C14BD"/>
    <w:rsid w:val="003C7A64"/>
    <w:rsid w:val="003D2E17"/>
    <w:rsid w:val="003D61E9"/>
    <w:rsid w:val="003D6780"/>
    <w:rsid w:val="003D6AEF"/>
    <w:rsid w:val="003E0642"/>
    <w:rsid w:val="003F19FA"/>
    <w:rsid w:val="003F20E8"/>
    <w:rsid w:val="003F4726"/>
    <w:rsid w:val="003F66FB"/>
    <w:rsid w:val="003F7549"/>
    <w:rsid w:val="003F7BD9"/>
    <w:rsid w:val="003F7F39"/>
    <w:rsid w:val="00402012"/>
    <w:rsid w:val="0040593F"/>
    <w:rsid w:val="00405F4B"/>
    <w:rsid w:val="004204A4"/>
    <w:rsid w:val="00422392"/>
    <w:rsid w:val="00430F19"/>
    <w:rsid w:val="004400F8"/>
    <w:rsid w:val="004401F1"/>
    <w:rsid w:val="004463C2"/>
    <w:rsid w:val="00451E09"/>
    <w:rsid w:val="00452611"/>
    <w:rsid w:val="00457174"/>
    <w:rsid w:val="00461566"/>
    <w:rsid w:val="0046206C"/>
    <w:rsid w:val="004678B8"/>
    <w:rsid w:val="00471F55"/>
    <w:rsid w:val="0047320C"/>
    <w:rsid w:val="0048052E"/>
    <w:rsid w:val="00481864"/>
    <w:rsid w:val="00482C38"/>
    <w:rsid w:val="00490050"/>
    <w:rsid w:val="00490115"/>
    <w:rsid w:val="00492509"/>
    <w:rsid w:val="004934BE"/>
    <w:rsid w:val="00497D24"/>
    <w:rsid w:val="004A684F"/>
    <w:rsid w:val="004B0531"/>
    <w:rsid w:val="004B1490"/>
    <w:rsid w:val="004B150C"/>
    <w:rsid w:val="004B17F8"/>
    <w:rsid w:val="004B345D"/>
    <w:rsid w:val="004B409D"/>
    <w:rsid w:val="004B7EED"/>
    <w:rsid w:val="004C0DF0"/>
    <w:rsid w:val="004C22A2"/>
    <w:rsid w:val="004C3C42"/>
    <w:rsid w:val="004C4CE8"/>
    <w:rsid w:val="004C5596"/>
    <w:rsid w:val="004D3960"/>
    <w:rsid w:val="004E0D89"/>
    <w:rsid w:val="004E29E7"/>
    <w:rsid w:val="004E374D"/>
    <w:rsid w:val="004E6E89"/>
    <w:rsid w:val="004F3E62"/>
    <w:rsid w:val="004F615C"/>
    <w:rsid w:val="005014C1"/>
    <w:rsid w:val="005026A2"/>
    <w:rsid w:val="00503E5B"/>
    <w:rsid w:val="00510D53"/>
    <w:rsid w:val="005116D1"/>
    <w:rsid w:val="00511F76"/>
    <w:rsid w:val="00514FD2"/>
    <w:rsid w:val="00517249"/>
    <w:rsid w:val="005233B7"/>
    <w:rsid w:val="005265E1"/>
    <w:rsid w:val="00527F89"/>
    <w:rsid w:val="00531BA9"/>
    <w:rsid w:val="00532314"/>
    <w:rsid w:val="005372EA"/>
    <w:rsid w:val="0054720F"/>
    <w:rsid w:val="00555813"/>
    <w:rsid w:val="00556EC0"/>
    <w:rsid w:val="00561093"/>
    <w:rsid w:val="005615DF"/>
    <w:rsid w:val="00564BB9"/>
    <w:rsid w:val="00567AB6"/>
    <w:rsid w:val="00574313"/>
    <w:rsid w:val="00593A16"/>
    <w:rsid w:val="00594658"/>
    <w:rsid w:val="00595857"/>
    <w:rsid w:val="005971BE"/>
    <w:rsid w:val="00597E38"/>
    <w:rsid w:val="005A50A2"/>
    <w:rsid w:val="005A7851"/>
    <w:rsid w:val="005B0356"/>
    <w:rsid w:val="005B0DFA"/>
    <w:rsid w:val="005C1F3D"/>
    <w:rsid w:val="005C3945"/>
    <w:rsid w:val="005C4202"/>
    <w:rsid w:val="005D3C94"/>
    <w:rsid w:val="005D580D"/>
    <w:rsid w:val="005D583D"/>
    <w:rsid w:val="005D7062"/>
    <w:rsid w:val="005E01D0"/>
    <w:rsid w:val="005E2AF9"/>
    <w:rsid w:val="005E639E"/>
    <w:rsid w:val="005F1427"/>
    <w:rsid w:val="005F2EC6"/>
    <w:rsid w:val="005F5F92"/>
    <w:rsid w:val="006002C8"/>
    <w:rsid w:val="00601D93"/>
    <w:rsid w:val="0060294D"/>
    <w:rsid w:val="00606531"/>
    <w:rsid w:val="00610124"/>
    <w:rsid w:val="006131F2"/>
    <w:rsid w:val="00614638"/>
    <w:rsid w:val="00617C13"/>
    <w:rsid w:val="0062105C"/>
    <w:rsid w:val="006217A3"/>
    <w:rsid w:val="00624B15"/>
    <w:rsid w:val="00630E97"/>
    <w:rsid w:val="006317A1"/>
    <w:rsid w:val="006323B4"/>
    <w:rsid w:val="00633C1A"/>
    <w:rsid w:val="00635F29"/>
    <w:rsid w:val="00640049"/>
    <w:rsid w:val="00642225"/>
    <w:rsid w:val="00654F58"/>
    <w:rsid w:val="00660FE4"/>
    <w:rsid w:val="00662CE3"/>
    <w:rsid w:val="00663AD1"/>
    <w:rsid w:val="006652B9"/>
    <w:rsid w:val="0066573A"/>
    <w:rsid w:val="0066692D"/>
    <w:rsid w:val="006671AA"/>
    <w:rsid w:val="0067404D"/>
    <w:rsid w:val="006742F4"/>
    <w:rsid w:val="00675F13"/>
    <w:rsid w:val="00677CA4"/>
    <w:rsid w:val="0068056F"/>
    <w:rsid w:val="00680B66"/>
    <w:rsid w:val="006829D9"/>
    <w:rsid w:val="006837EF"/>
    <w:rsid w:val="006854B2"/>
    <w:rsid w:val="006856AC"/>
    <w:rsid w:val="00686CB3"/>
    <w:rsid w:val="00687592"/>
    <w:rsid w:val="006908A4"/>
    <w:rsid w:val="00692556"/>
    <w:rsid w:val="00693360"/>
    <w:rsid w:val="00693F63"/>
    <w:rsid w:val="00694102"/>
    <w:rsid w:val="006954AF"/>
    <w:rsid w:val="00695EE1"/>
    <w:rsid w:val="006967F1"/>
    <w:rsid w:val="006A023C"/>
    <w:rsid w:val="006A0B79"/>
    <w:rsid w:val="006A1332"/>
    <w:rsid w:val="006A17E9"/>
    <w:rsid w:val="006B164F"/>
    <w:rsid w:val="006B6724"/>
    <w:rsid w:val="006B6C9D"/>
    <w:rsid w:val="006C0003"/>
    <w:rsid w:val="006C277B"/>
    <w:rsid w:val="006C413E"/>
    <w:rsid w:val="006C6800"/>
    <w:rsid w:val="006D183E"/>
    <w:rsid w:val="006D3ECE"/>
    <w:rsid w:val="006E0496"/>
    <w:rsid w:val="006E0B95"/>
    <w:rsid w:val="006E37AB"/>
    <w:rsid w:val="006E4114"/>
    <w:rsid w:val="006E5A41"/>
    <w:rsid w:val="006F0902"/>
    <w:rsid w:val="006F1EF4"/>
    <w:rsid w:val="006F228C"/>
    <w:rsid w:val="006F53FC"/>
    <w:rsid w:val="006F5A6D"/>
    <w:rsid w:val="006F677E"/>
    <w:rsid w:val="006F72BA"/>
    <w:rsid w:val="006F7C1B"/>
    <w:rsid w:val="007010F0"/>
    <w:rsid w:val="0070211A"/>
    <w:rsid w:val="00702E5A"/>
    <w:rsid w:val="00702ED2"/>
    <w:rsid w:val="0070353A"/>
    <w:rsid w:val="00704185"/>
    <w:rsid w:val="0070771E"/>
    <w:rsid w:val="007107B8"/>
    <w:rsid w:val="0071144C"/>
    <w:rsid w:val="00712874"/>
    <w:rsid w:val="00720590"/>
    <w:rsid w:val="00722189"/>
    <w:rsid w:val="00724B24"/>
    <w:rsid w:val="0072566F"/>
    <w:rsid w:val="00726B75"/>
    <w:rsid w:val="00727FAF"/>
    <w:rsid w:val="0073152C"/>
    <w:rsid w:val="007318D0"/>
    <w:rsid w:val="0073390C"/>
    <w:rsid w:val="00736B4D"/>
    <w:rsid w:val="0074099E"/>
    <w:rsid w:val="00746291"/>
    <w:rsid w:val="00747346"/>
    <w:rsid w:val="00750002"/>
    <w:rsid w:val="00754CF0"/>
    <w:rsid w:val="00755D94"/>
    <w:rsid w:val="00761462"/>
    <w:rsid w:val="007636EB"/>
    <w:rsid w:val="00766237"/>
    <w:rsid w:val="00770A1A"/>
    <w:rsid w:val="00770F42"/>
    <w:rsid w:val="00792FE8"/>
    <w:rsid w:val="00794736"/>
    <w:rsid w:val="00795040"/>
    <w:rsid w:val="007974D1"/>
    <w:rsid w:val="00797E26"/>
    <w:rsid w:val="007A2B79"/>
    <w:rsid w:val="007A688C"/>
    <w:rsid w:val="007A78AF"/>
    <w:rsid w:val="007B0320"/>
    <w:rsid w:val="007B15B3"/>
    <w:rsid w:val="007B42EE"/>
    <w:rsid w:val="007B5D65"/>
    <w:rsid w:val="007C3A73"/>
    <w:rsid w:val="007D1424"/>
    <w:rsid w:val="007D4791"/>
    <w:rsid w:val="007D683C"/>
    <w:rsid w:val="007E072D"/>
    <w:rsid w:val="007E3876"/>
    <w:rsid w:val="007E69B4"/>
    <w:rsid w:val="0080007A"/>
    <w:rsid w:val="00801A03"/>
    <w:rsid w:val="00803460"/>
    <w:rsid w:val="008102F3"/>
    <w:rsid w:val="008205C5"/>
    <w:rsid w:val="00823B64"/>
    <w:rsid w:val="008259E2"/>
    <w:rsid w:val="008340A4"/>
    <w:rsid w:val="00843F81"/>
    <w:rsid w:val="00844C81"/>
    <w:rsid w:val="008457C2"/>
    <w:rsid w:val="00850026"/>
    <w:rsid w:val="00853934"/>
    <w:rsid w:val="00865C9E"/>
    <w:rsid w:val="00866FCF"/>
    <w:rsid w:val="00867217"/>
    <w:rsid w:val="008773E0"/>
    <w:rsid w:val="00877521"/>
    <w:rsid w:val="00877D1F"/>
    <w:rsid w:val="00881916"/>
    <w:rsid w:val="0088260C"/>
    <w:rsid w:val="00884FDF"/>
    <w:rsid w:val="008A0DAA"/>
    <w:rsid w:val="008A3E3A"/>
    <w:rsid w:val="008A4747"/>
    <w:rsid w:val="008A6AB8"/>
    <w:rsid w:val="008C232F"/>
    <w:rsid w:val="008C308C"/>
    <w:rsid w:val="008C3FF0"/>
    <w:rsid w:val="008D05AC"/>
    <w:rsid w:val="008D0CAD"/>
    <w:rsid w:val="008D2F61"/>
    <w:rsid w:val="008D35B1"/>
    <w:rsid w:val="008F163B"/>
    <w:rsid w:val="008F23A1"/>
    <w:rsid w:val="008F2F4A"/>
    <w:rsid w:val="008F5690"/>
    <w:rsid w:val="008F63B0"/>
    <w:rsid w:val="008F7185"/>
    <w:rsid w:val="009069AE"/>
    <w:rsid w:val="009076D8"/>
    <w:rsid w:val="009113EE"/>
    <w:rsid w:val="0091351F"/>
    <w:rsid w:val="00915CA2"/>
    <w:rsid w:val="009206F4"/>
    <w:rsid w:val="009211B0"/>
    <w:rsid w:val="00930983"/>
    <w:rsid w:val="00931C4C"/>
    <w:rsid w:val="00932A44"/>
    <w:rsid w:val="009339A1"/>
    <w:rsid w:val="00947434"/>
    <w:rsid w:val="009529F9"/>
    <w:rsid w:val="0095657C"/>
    <w:rsid w:val="009707F9"/>
    <w:rsid w:val="00973A8B"/>
    <w:rsid w:val="0097611B"/>
    <w:rsid w:val="009766F7"/>
    <w:rsid w:val="00976E53"/>
    <w:rsid w:val="009777F8"/>
    <w:rsid w:val="00977C60"/>
    <w:rsid w:val="009801B1"/>
    <w:rsid w:val="0098246A"/>
    <w:rsid w:val="009840B9"/>
    <w:rsid w:val="0099364F"/>
    <w:rsid w:val="00996A62"/>
    <w:rsid w:val="009A022F"/>
    <w:rsid w:val="009A159C"/>
    <w:rsid w:val="009B0D62"/>
    <w:rsid w:val="009B7400"/>
    <w:rsid w:val="009C2B4C"/>
    <w:rsid w:val="009D0174"/>
    <w:rsid w:val="009D4C82"/>
    <w:rsid w:val="009D76CA"/>
    <w:rsid w:val="009E38F6"/>
    <w:rsid w:val="009E502F"/>
    <w:rsid w:val="009E6A45"/>
    <w:rsid w:val="009E6FDC"/>
    <w:rsid w:val="009F0B1A"/>
    <w:rsid w:val="009F375F"/>
    <w:rsid w:val="009F41F3"/>
    <w:rsid w:val="00A01744"/>
    <w:rsid w:val="00A01B45"/>
    <w:rsid w:val="00A02A0D"/>
    <w:rsid w:val="00A0766D"/>
    <w:rsid w:val="00A07BA8"/>
    <w:rsid w:val="00A07FAE"/>
    <w:rsid w:val="00A1488A"/>
    <w:rsid w:val="00A16E5A"/>
    <w:rsid w:val="00A229FE"/>
    <w:rsid w:val="00A410FE"/>
    <w:rsid w:val="00A414FE"/>
    <w:rsid w:val="00A41FA2"/>
    <w:rsid w:val="00A42F98"/>
    <w:rsid w:val="00A433AE"/>
    <w:rsid w:val="00A46622"/>
    <w:rsid w:val="00A509EE"/>
    <w:rsid w:val="00A54319"/>
    <w:rsid w:val="00A62AFC"/>
    <w:rsid w:val="00A703B2"/>
    <w:rsid w:val="00A7120A"/>
    <w:rsid w:val="00A71B7E"/>
    <w:rsid w:val="00A738E6"/>
    <w:rsid w:val="00A77FDC"/>
    <w:rsid w:val="00A92D17"/>
    <w:rsid w:val="00A9670C"/>
    <w:rsid w:val="00A96A72"/>
    <w:rsid w:val="00AA39E2"/>
    <w:rsid w:val="00AA47E5"/>
    <w:rsid w:val="00AB0EDE"/>
    <w:rsid w:val="00AB354A"/>
    <w:rsid w:val="00AB40BA"/>
    <w:rsid w:val="00AB53D4"/>
    <w:rsid w:val="00AB5E14"/>
    <w:rsid w:val="00AB6AFD"/>
    <w:rsid w:val="00AC6358"/>
    <w:rsid w:val="00AD659B"/>
    <w:rsid w:val="00AD701F"/>
    <w:rsid w:val="00AE391F"/>
    <w:rsid w:val="00AF1C21"/>
    <w:rsid w:val="00AF5675"/>
    <w:rsid w:val="00AF6E92"/>
    <w:rsid w:val="00B036F4"/>
    <w:rsid w:val="00B073F5"/>
    <w:rsid w:val="00B07A74"/>
    <w:rsid w:val="00B210D3"/>
    <w:rsid w:val="00B2139B"/>
    <w:rsid w:val="00B23140"/>
    <w:rsid w:val="00B231EF"/>
    <w:rsid w:val="00B243EA"/>
    <w:rsid w:val="00B314AE"/>
    <w:rsid w:val="00B315F4"/>
    <w:rsid w:val="00B320FA"/>
    <w:rsid w:val="00B322CC"/>
    <w:rsid w:val="00B33ABC"/>
    <w:rsid w:val="00B34D94"/>
    <w:rsid w:val="00B354F0"/>
    <w:rsid w:val="00B356C5"/>
    <w:rsid w:val="00B40B6F"/>
    <w:rsid w:val="00B43017"/>
    <w:rsid w:val="00B43C5B"/>
    <w:rsid w:val="00B444BA"/>
    <w:rsid w:val="00B51614"/>
    <w:rsid w:val="00B51DAC"/>
    <w:rsid w:val="00B64438"/>
    <w:rsid w:val="00B64FF8"/>
    <w:rsid w:val="00B66EE0"/>
    <w:rsid w:val="00B702D7"/>
    <w:rsid w:val="00B71896"/>
    <w:rsid w:val="00B762C9"/>
    <w:rsid w:val="00B8097D"/>
    <w:rsid w:val="00B81E18"/>
    <w:rsid w:val="00B81EA5"/>
    <w:rsid w:val="00B840A4"/>
    <w:rsid w:val="00B846B5"/>
    <w:rsid w:val="00B858A3"/>
    <w:rsid w:val="00B87219"/>
    <w:rsid w:val="00B901DF"/>
    <w:rsid w:val="00B93085"/>
    <w:rsid w:val="00B93252"/>
    <w:rsid w:val="00B95F32"/>
    <w:rsid w:val="00BA104C"/>
    <w:rsid w:val="00BA36B1"/>
    <w:rsid w:val="00BA7C98"/>
    <w:rsid w:val="00BC175E"/>
    <w:rsid w:val="00BC2895"/>
    <w:rsid w:val="00BC31C0"/>
    <w:rsid w:val="00BC458B"/>
    <w:rsid w:val="00BC6D4B"/>
    <w:rsid w:val="00BC7C8A"/>
    <w:rsid w:val="00BD060B"/>
    <w:rsid w:val="00BD0860"/>
    <w:rsid w:val="00BD3818"/>
    <w:rsid w:val="00BD65F4"/>
    <w:rsid w:val="00BE060E"/>
    <w:rsid w:val="00BE0A1A"/>
    <w:rsid w:val="00BE2338"/>
    <w:rsid w:val="00BE4FCD"/>
    <w:rsid w:val="00BE6EE6"/>
    <w:rsid w:val="00BF4DB3"/>
    <w:rsid w:val="00C01BE8"/>
    <w:rsid w:val="00C05ED7"/>
    <w:rsid w:val="00C15B7B"/>
    <w:rsid w:val="00C15C0B"/>
    <w:rsid w:val="00C20CF5"/>
    <w:rsid w:val="00C2354F"/>
    <w:rsid w:val="00C32A46"/>
    <w:rsid w:val="00C356C3"/>
    <w:rsid w:val="00C37CE1"/>
    <w:rsid w:val="00C40962"/>
    <w:rsid w:val="00C43436"/>
    <w:rsid w:val="00C4472B"/>
    <w:rsid w:val="00C44769"/>
    <w:rsid w:val="00C45C5A"/>
    <w:rsid w:val="00C45C93"/>
    <w:rsid w:val="00C51358"/>
    <w:rsid w:val="00C53827"/>
    <w:rsid w:val="00C53847"/>
    <w:rsid w:val="00C53C7A"/>
    <w:rsid w:val="00C54EAC"/>
    <w:rsid w:val="00C573A0"/>
    <w:rsid w:val="00C60539"/>
    <w:rsid w:val="00C60867"/>
    <w:rsid w:val="00C621A3"/>
    <w:rsid w:val="00C726B8"/>
    <w:rsid w:val="00C74CC3"/>
    <w:rsid w:val="00C83F97"/>
    <w:rsid w:val="00C87BF8"/>
    <w:rsid w:val="00C938AA"/>
    <w:rsid w:val="00C942CE"/>
    <w:rsid w:val="00C96B6D"/>
    <w:rsid w:val="00C97212"/>
    <w:rsid w:val="00CA555F"/>
    <w:rsid w:val="00CB43D6"/>
    <w:rsid w:val="00CB4471"/>
    <w:rsid w:val="00CB63CD"/>
    <w:rsid w:val="00CC34BB"/>
    <w:rsid w:val="00CC4F6C"/>
    <w:rsid w:val="00CC5A1F"/>
    <w:rsid w:val="00CC75C3"/>
    <w:rsid w:val="00CC79FD"/>
    <w:rsid w:val="00CD136A"/>
    <w:rsid w:val="00CD32D8"/>
    <w:rsid w:val="00CD6D46"/>
    <w:rsid w:val="00CD76F7"/>
    <w:rsid w:val="00CE31AE"/>
    <w:rsid w:val="00CE4E78"/>
    <w:rsid w:val="00CF44CD"/>
    <w:rsid w:val="00D01682"/>
    <w:rsid w:val="00D01751"/>
    <w:rsid w:val="00D0220B"/>
    <w:rsid w:val="00D0396E"/>
    <w:rsid w:val="00D05E22"/>
    <w:rsid w:val="00D069E2"/>
    <w:rsid w:val="00D06CB8"/>
    <w:rsid w:val="00D06FFC"/>
    <w:rsid w:val="00D103A9"/>
    <w:rsid w:val="00D17134"/>
    <w:rsid w:val="00D20FBE"/>
    <w:rsid w:val="00D22BEB"/>
    <w:rsid w:val="00D22E26"/>
    <w:rsid w:val="00D24302"/>
    <w:rsid w:val="00D24ECC"/>
    <w:rsid w:val="00D258F4"/>
    <w:rsid w:val="00D2663F"/>
    <w:rsid w:val="00D31929"/>
    <w:rsid w:val="00D3334C"/>
    <w:rsid w:val="00D33CAB"/>
    <w:rsid w:val="00D3565A"/>
    <w:rsid w:val="00D42613"/>
    <w:rsid w:val="00D42A77"/>
    <w:rsid w:val="00D42E72"/>
    <w:rsid w:val="00D446D4"/>
    <w:rsid w:val="00D453EB"/>
    <w:rsid w:val="00D45BFF"/>
    <w:rsid w:val="00D473BE"/>
    <w:rsid w:val="00D478EB"/>
    <w:rsid w:val="00D541E5"/>
    <w:rsid w:val="00D564BE"/>
    <w:rsid w:val="00D57C7E"/>
    <w:rsid w:val="00D61DF3"/>
    <w:rsid w:val="00D63CB7"/>
    <w:rsid w:val="00D65BD3"/>
    <w:rsid w:val="00D710C4"/>
    <w:rsid w:val="00D72EFB"/>
    <w:rsid w:val="00D72FAC"/>
    <w:rsid w:val="00D746D1"/>
    <w:rsid w:val="00D76F17"/>
    <w:rsid w:val="00D77268"/>
    <w:rsid w:val="00D82998"/>
    <w:rsid w:val="00D84FEA"/>
    <w:rsid w:val="00D864AF"/>
    <w:rsid w:val="00D91536"/>
    <w:rsid w:val="00D91C03"/>
    <w:rsid w:val="00D9252E"/>
    <w:rsid w:val="00D92838"/>
    <w:rsid w:val="00D93E31"/>
    <w:rsid w:val="00D95FA9"/>
    <w:rsid w:val="00DA10F7"/>
    <w:rsid w:val="00DA1862"/>
    <w:rsid w:val="00DA5085"/>
    <w:rsid w:val="00DA5AFE"/>
    <w:rsid w:val="00DB6261"/>
    <w:rsid w:val="00DB6774"/>
    <w:rsid w:val="00DC04E5"/>
    <w:rsid w:val="00DC5917"/>
    <w:rsid w:val="00DC7397"/>
    <w:rsid w:val="00DD18EF"/>
    <w:rsid w:val="00DD2460"/>
    <w:rsid w:val="00DD28A8"/>
    <w:rsid w:val="00DE26BD"/>
    <w:rsid w:val="00DE518D"/>
    <w:rsid w:val="00DF6044"/>
    <w:rsid w:val="00E021C0"/>
    <w:rsid w:val="00E04669"/>
    <w:rsid w:val="00E17307"/>
    <w:rsid w:val="00E23602"/>
    <w:rsid w:val="00E2453D"/>
    <w:rsid w:val="00E26C4B"/>
    <w:rsid w:val="00E27F8E"/>
    <w:rsid w:val="00E32A7B"/>
    <w:rsid w:val="00E3449D"/>
    <w:rsid w:val="00E351D8"/>
    <w:rsid w:val="00E362C6"/>
    <w:rsid w:val="00E40210"/>
    <w:rsid w:val="00E458E2"/>
    <w:rsid w:val="00E51C5B"/>
    <w:rsid w:val="00E56637"/>
    <w:rsid w:val="00E64FED"/>
    <w:rsid w:val="00E6521B"/>
    <w:rsid w:val="00E71C64"/>
    <w:rsid w:val="00E71DF6"/>
    <w:rsid w:val="00E8078A"/>
    <w:rsid w:val="00E80BEA"/>
    <w:rsid w:val="00E8701A"/>
    <w:rsid w:val="00E87EEF"/>
    <w:rsid w:val="00E92513"/>
    <w:rsid w:val="00E946A4"/>
    <w:rsid w:val="00E96672"/>
    <w:rsid w:val="00E96D3C"/>
    <w:rsid w:val="00EA250C"/>
    <w:rsid w:val="00EA428C"/>
    <w:rsid w:val="00EA7C9B"/>
    <w:rsid w:val="00EB1AFE"/>
    <w:rsid w:val="00EC0756"/>
    <w:rsid w:val="00EC0D7C"/>
    <w:rsid w:val="00EC1D9B"/>
    <w:rsid w:val="00EC4BA8"/>
    <w:rsid w:val="00EC52BD"/>
    <w:rsid w:val="00ED2059"/>
    <w:rsid w:val="00ED5888"/>
    <w:rsid w:val="00ED7734"/>
    <w:rsid w:val="00ED7B82"/>
    <w:rsid w:val="00EE505A"/>
    <w:rsid w:val="00EE5577"/>
    <w:rsid w:val="00EE64BC"/>
    <w:rsid w:val="00EE72FC"/>
    <w:rsid w:val="00EF1C5E"/>
    <w:rsid w:val="00EF4156"/>
    <w:rsid w:val="00EF439B"/>
    <w:rsid w:val="00EF4716"/>
    <w:rsid w:val="00EF4ADC"/>
    <w:rsid w:val="00EF50B5"/>
    <w:rsid w:val="00F03A6F"/>
    <w:rsid w:val="00F074CA"/>
    <w:rsid w:val="00F13F42"/>
    <w:rsid w:val="00F14123"/>
    <w:rsid w:val="00F16049"/>
    <w:rsid w:val="00F1611E"/>
    <w:rsid w:val="00F17CBA"/>
    <w:rsid w:val="00F21DAC"/>
    <w:rsid w:val="00F305F4"/>
    <w:rsid w:val="00F37371"/>
    <w:rsid w:val="00F408E1"/>
    <w:rsid w:val="00F415AD"/>
    <w:rsid w:val="00F43BE7"/>
    <w:rsid w:val="00F4441F"/>
    <w:rsid w:val="00F46567"/>
    <w:rsid w:val="00F4672F"/>
    <w:rsid w:val="00F50370"/>
    <w:rsid w:val="00F53B91"/>
    <w:rsid w:val="00F562E1"/>
    <w:rsid w:val="00F638AD"/>
    <w:rsid w:val="00F71446"/>
    <w:rsid w:val="00F72FA8"/>
    <w:rsid w:val="00F76147"/>
    <w:rsid w:val="00F76A1E"/>
    <w:rsid w:val="00F76D1B"/>
    <w:rsid w:val="00F8392C"/>
    <w:rsid w:val="00F94DB7"/>
    <w:rsid w:val="00F97283"/>
    <w:rsid w:val="00FA3CB0"/>
    <w:rsid w:val="00FA5339"/>
    <w:rsid w:val="00FA5844"/>
    <w:rsid w:val="00FA7354"/>
    <w:rsid w:val="00FB22DE"/>
    <w:rsid w:val="00FB40A4"/>
    <w:rsid w:val="00FB6CEE"/>
    <w:rsid w:val="00FC0E4D"/>
    <w:rsid w:val="00FD3098"/>
    <w:rsid w:val="00FD4B74"/>
    <w:rsid w:val="00FD7AB7"/>
    <w:rsid w:val="00FD7D76"/>
    <w:rsid w:val="00FE0C02"/>
    <w:rsid w:val="00FE0CE8"/>
    <w:rsid w:val="00FE64D2"/>
    <w:rsid w:val="00FE7043"/>
    <w:rsid w:val="00FF671B"/>
    <w:rsid w:val="01D7802D"/>
    <w:rsid w:val="03473D90"/>
    <w:rsid w:val="0A493FF9"/>
    <w:rsid w:val="0AD35119"/>
    <w:rsid w:val="0EBDF0BB"/>
    <w:rsid w:val="1059C11C"/>
    <w:rsid w:val="1250493E"/>
    <w:rsid w:val="1DE3FC94"/>
    <w:rsid w:val="29F1B1DC"/>
    <w:rsid w:val="2FE0305E"/>
    <w:rsid w:val="3866B761"/>
    <w:rsid w:val="387FFA9B"/>
    <w:rsid w:val="388767A2"/>
    <w:rsid w:val="38D8B472"/>
    <w:rsid w:val="3D49384C"/>
    <w:rsid w:val="4071C946"/>
    <w:rsid w:val="418E8D82"/>
    <w:rsid w:val="474A0671"/>
    <w:rsid w:val="4A53E461"/>
    <w:rsid w:val="50CB7101"/>
    <w:rsid w:val="517BB003"/>
    <w:rsid w:val="52C6F19E"/>
    <w:rsid w:val="577A03CD"/>
    <w:rsid w:val="59088ACE"/>
    <w:rsid w:val="5B9B7726"/>
    <w:rsid w:val="65A40F25"/>
    <w:rsid w:val="6AD4B4C8"/>
    <w:rsid w:val="6B277B3C"/>
    <w:rsid w:val="6CB2CDE6"/>
    <w:rsid w:val="7F7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A2903"/>
  <w15:chartTrackingRefBased/>
  <w15:docId w15:val="{88481032-F69E-4599-9A9D-96E8A8A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FB"/>
  </w:style>
  <w:style w:type="paragraph" w:styleId="Ttulo1">
    <w:name w:val="heading 1"/>
    <w:basedOn w:val="Normal"/>
    <w:next w:val="Normal"/>
    <w:link w:val="Ttulo1Car"/>
    <w:uiPriority w:val="9"/>
    <w:qFormat/>
    <w:rsid w:val="006F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5B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6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F6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77E"/>
  </w:style>
  <w:style w:type="paragraph" w:styleId="Piedepgina">
    <w:name w:val="footer"/>
    <w:basedOn w:val="Normal"/>
    <w:link w:val="PiedepginaCar"/>
    <w:uiPriority w:val="99"/>
    <w:unhideWhenUsed/>
    <w:rsid w:val="006F6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77E"/>
  </w:style>
  <w:style w:type="character" w:styleId="Refdecomentario">
    <w:name w:val="annotation reference"/>
    <w:basedOn w:val="Fuentedeprrafopredeter"/>
    <w:uiPriority w:val="99"/>
    <w:semiHidden/>
    <w:unhideWhenUsed/>
    <w:rsid w:val="005F14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14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14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14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142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23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3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239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C6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91C0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D9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5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5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7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69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67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6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5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8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38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474AF-C759-4E77-AE93-A8F78EC5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2414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Ramón Larraín Aylwin</dc:creator>
  <cp:keywords/>
  <dc:description/>
  <cp:lastModifiedBy>JRLA</cp:lastModifiedBy>
  <cp:revision>5</cp:revision>
  <cp:lastPrinted>2021-10-07T18:27:00Z</cp:lastPrinted>
  <dcterms:created xsi:type="dcterms:W3CDTF">2021-12-03T19:50:00Z</dcterms:created>
  <dcterms:modified xsi:type="dcterms:W3CDTF">2021-12-14T15:36:00Z</dcterms:modified>
</cp:coreProperties>
</file>